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7912473D" w14:textId="094FDD29"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832CC8">
        <w:rPr>
          <w:rFonts w:ascii="Arial Nova Light" w:hAnsi="Arial Nova Light" w:cs="Arial"/>
          <w:b/>
          <w:noProof/>
          <w:color w:val="auto"/>
          <w:sz w:val="20"/>
          <w:szCs w:val="20"/>
        </w:rPr>
        <w:t>1</w:t>
      </w:r>
      <w:r w:rsidR="001B4034">
        <w:rPr>
          <w:rFonts w:ascii="Arial Nova Light" w:hAnsi="Arial Nova Light" w:cs="Arial"/>
          <w:b/>
          <w:noProof/>
          <w:color w:val="auto"/>
          <w:sz w:val="20"/>
          <w:szCs w:val="20"/>
        </w:rPr>
        <w:t>1</w:t>
      </w:r>
      <w:r>
        <w:rPr>
          <w:rFonts w:ascii="Arial Nova Light" w:hAnsi="Arial Nova Light" w:cs="Arial"/>
          <w:b/>
          <w:noProof/>
          <w:color w:val="auto"/>
          <w:sz w:val="20"/>
          <w:szCs w:val="20"/>
        </w:rPr>
        <w:t xml:space="preserve">/2025 </w:t>
      </w:r>
    </w:p>
    <w:p w14:paraId="36E780E9" w14:textId="381D5D83" w:rsidR="00D34D83" w:rsidRDefault="00832CC8" w:rsidP="001A26BC">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1B4034"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7C1BD7FD" w14:textId="77777777" w:rsidR="00832CC8" w:rsidRPr="00B65412" w:rsidRDefault="00832CC8"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1E8AF0AC" w:rsidR="00B523B2" w:rsidRPr="00A24F85" w:rsidRDefault="00AD4092"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06 de noviembre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07CBC6EB" w:rsidR="00B523B2" w:rsidRPr="002C6EE0" w:rsidRDefault="00832CC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11</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5E7AD512" w:rsidR="00B523B2" w:rsidRPr="00A24F85" w:rsidRDefault="00AD4092"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17 de noviembre</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778CDC9D"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832CC8">
              <w:rPr>
                <w:rFonts w:ascii="Arial Nova Light" w:hAnsi="Arial Nova Light" w:cs="Arial"/>
                <w:noProof/>
                <w:sz w:val="20"/>
                <w:szCs w:val="20"/>
                <w:lang w:val="es-MX"/>
              </w:rPr>
              <w:t>8</w:t>
            </w:r>
            <w:r w:rsidR="001B4034">
              <w:rPr>
                <w:rFonts w:ascii="Arial Nova Light" w:hAnsi="Arial Nova Light" w:cs="Arial"/>
                <w:noProof/>
                <w:sz w:val="20"/>
                <w:szCs w:val="20"/>
                <w:lang w:val="es-MX"/>
              </w:rPr>
              <w:t>6</w:t>
            </w:r>
            <w:r w:rsidR="00CC7748">
              <w:rPr>
                <w:rFonts w:ascii="Arial Nova Light" w:hAnsi="Arial Nova Light" w:cs="Arial"/>
                <w:noProof/>
                <w:sz w:val="20"/>
                <w:szCs w:val="20"/>
                <w:lang w:val="es-MX"/>
              </w:rPr>
              <w:t>/</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1A4AEAC6"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471D66E0"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E007B0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037C018D"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6786CAC9" w:rsidR="00302F20" w:rsidRPr="00A24F85" w:rsidRDefault="00AD4092"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 xml:space="preserve">06 de noviembre </w:t>
            </w:r>
            <w:r w:rsidR="008848BC" w:rsidRPr="00A24F85">
              <w:rPr>
                <w:rFonts w:ascii="Arial Nova Light" w:hAnsi="Arial Nova Light" w:cs="Arial"/>
                <w:noProof/>
                <w:sz w:val="18"/>
                <w:szCs w:val="18"/>
                <w:lang w:val="es-MX"/>
              </w:rPr>
              <w:t xml:space="preserve">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199F7829" w:rsidR="00302F20" w:rsidRPr="00A24F85" w:rsidRDefault="00AD4092"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17 de noviembre</w:t>
            </w:r>
            <w:r w:rsidR="00D83DE2" w:rsidRPr="00A24F85">
              <w:rPr>
                <w:rFonts w:ascii="Arial Nova Light" w:hAnsi="Arial Nova Light" w:cs="Arial"/>
                <w:noProof/>
                <w:sz w:val="18"/>
                <w:szCs w:val="18"/>
                <w:lang w:val="es-MX"/>
              </w:rPr>
              <w:t xml:space="preserve"> de 2025 </w:t>
            </w:r>
            <w:r w:rsidR="00EF2234" w:rsidRPr="00A24F85">
              <w:rPr>
                <w:rFonts w:ascii="Arial Nova Light" w:eastAsia="Arial" w:hAnsi="Arial Nova Light" w:cs="Arial"/>
                <w:sz w:val="18"/>
                <w:szCs w:val="18"/>
                <w:lang w:val="es-MX"/>
              </w:rPr>
              <w:t>a las 1</w:t>
            </w:r>
            <w:r w:rsidR="003800F4" w:rsidRPr="00A24F85">
              <w:rPr>
                <w:rFonts w:ascii="Arial Nova Light" w:eastAsia="Arial" w:hAnsi="Arial Nova Light" w:cs="Arial"/>
                <w:sz w:val="18"/>
                <w:szCs w:val="18"/>
                <w:lang w:val="es-MX"/>
              </w:rPr>
              <w:t>0:</w:t>
            </w:r>
            <w:r>
              <w:rPr>
                <w:rFonts w:ascii="Arial Nova Light" w:eastAsia="Arial" w:hAnsi="Arial Nova Light" w:cs="Arial"/>
                <w:sz w:val="18"/>
                <w:szCs w:val="18"/>
                <w:lang w:val="es-MX"/>
              </w:rPr>
              <w:t>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498C6F76"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AD4092">
              <w:rPr>
                <w:rFonts w:ascii="Arial Nova Light" w:hAnsi="Arial Nova Light" w:cs="Arial"/>
                <w:noProof/>
                <w:sz w:val="18"/>
                <w:szCs w:val="18"/>
                <w:lang w:val="es-MX"/>
              </w:rPr>
              <w:t>06 de noviembre</w:t>
            </w:r>
            <w:r w:rsidR="003F5F91" w:rsidRPr="00A24F85">
              <w:rPr>
                <w:rFonts w:ascii="Arial Nova Light" w:hAnsi="Arial Nova Light" w:cs="Arial"/>
                <w:noProof/>
                <w:sz w:val="18"/>
                <w:szCs w:val="18"/>
                <w:lang w:val="es-MX"/>
              </w:rPr>
              <w:t xml:space="preserv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AD4092">
              <w:rPr>
                <w:rFonts w:ascii="Arial Nova Light" w:hAnsi="Arial Nova Light" w:cs="Arial"/>
                <w:noProof/>
                <w:sz w:val="18"/>
                <w:szCs w:val="18"/>
                <w:lang w:val="es-MX"/>
              </w:rPr>
              <w:t>10 de noviembre</w:t>
            </w:r>
            <w:r w:rsidR="00832CC8">
              <w:rPr>
                <w:rFonts w:ascii="Arial Nova Light" w:hAnsi="Arial Nova Light" w:cs="Arial"/>
                <w:noProof/>
                <w:sz w:val="18"/>
                <w:szCs w:val="18"/>
                <w:lang w:val="es-MX"/>
              </w:rPr>
              <w:t xml:space="preserve"> 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832CC8">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10AD97DD" w:rsidR="00302F20" w:rsidRPr="002C6EE0" w:rsidRDefault="00AD4092"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17 de noviembre</w:t>
            </w:r>
            <w:r w:rsidR="003F5F91"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5C48221A" w14:textId="77777777" w:rsidR="00AD4092" w:rsidRPr="002C6EE0" w:rsidRDefault="00AD4092" w:rsidP="00AD4092">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Pr>
                <w:rFonts w:ascii="Arial Nova Light" w:hAnsi="Arial Nova Light" w:cs="Arial"/>
                <w:noProof/>
                <w:sz w:val="18"/>
                <w:szCs w:val="18"/>
                <w:lang w:val="es-MX"/>
              </w:rPr>
              <w:t>30</w:t>
            </w:r>
            <w:r w:rsidRPr="002C6EE0">
              <w:rPr>
                <w:rFonts w:ascii="Arial Nova Light" w:hAnsi="Arial Nova Light" w:cs="Arial"/>
                <w:noProof/>
                <w:sz w:val="18"/>
                <w:szCs w:val="18"/>
                <w:lang w:val="es-MX"/>
              </w:rPr>
              <w:t xml:space="preserve"> horas</w:t>
            </w:r>
          </w:p>
          <w:p w14:paraId="2B99382D" w14:textId="565126C5" w:rsidR="00302F20" w:rsidRPr="002C6EE0" w:rsidRDefault="00AD4092" w:rsidP="00AD4092">
            <w:pPr>
              <w:spacing w:line="240" w:lineRule="auto"/>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Pr>
                <w:rFonts w:ascii="Arial Nova Light" w:hAnsi="Arial Nova Light" w:cs="Arial"/>
                <w:noProof/>
                <w:sz w:val="18"/>
                <w:szCs w:val="18"/>
                <w:lang w:val="es-MX"/>
              </w:rPr>
              <w:t>09:59</w:t>
            </w:r>
            <w:r w:rsidRPr="002C6EE0">
              <w:rPr>
                <w:rFonts w:ascii="Arial Nova Light" w:hAnsi="Arial Nova Light" w:cs="Arial"/>
                <w:noProof/>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76572686"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AD4092">
              <w:rPr>
                <w:rFonts w:ascii="Arial Nova Light" w:eastAsia="Arial" w:hAnsi="Arial Nova Light" w:cs="Arial"/>
                <w:sz w:val="18"/>
                <w:szCs w:val="18"/>
                <w:lang w:val="es-MX"/>
              </w:rPr>
              <w:t>00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627219E9" w:rsidR="006D77E0" w:rsidRPr="002C6EE0" w:rsidRDefault="00AD4092"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13 de noviembre</w:t>
            </w:r>
            <w:r w:rsidR="003F5F91" w:rsidRPr="00A24F85">
              <w:rPr>
                <w:rFonts w:ascii="Arial Nova Light" w:hAnsi="Arial Nova Light" w:cs="Arial"/>
                <w:noProof/>
                <w:sz w:val="18"/>
                <w:szCs w:val="18"/>
                <w:lang w:val="es-MX"/>
              </w:rPr>
              <w:t xml:space="preserv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370E6C8"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CD05CD">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AD4092">
              <w:rPr>
                <w:rFonts w:ascii="Arial Nova Light" w:hAnsi="Arial Nova Light" w:cs="Arial"/>
                <w:noProof/>
                <w:sz w:val="18"/>
                <w:szCs w:val="18"/>
                <w:lang w:val="es-MX"/>
              </w:rPr>
              <w:t>30</w:t>
            </w:r>
            <w:r w:rsidRPr="002C6EE0">
              <w:rPr>
                <w:rFonts w:ascii="Arial Nova Light" w:hAnsi="Arial Nova Light" w:cs="Arial"/>
                <w:noProof/>
                <w:sz w:val="18"/>
                <w:szCs w:val="18"/>
                <w:lang w:val="es-MX"/>
              </w:rPr>
              <w:t xml:space="preserve"> horas</w:t>
            </w:r>
          </w:p>
          <w:p w14:paraId="3F41F392" w14:textId="01CC4C9C"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AD4092">
              <w:rPr>
                <w:rFonts w:ascii="Arial Nova Light" w:hAnsi="Arial Nova Light" w:cs="Arial"/>
                <w:noProof/>
                <w:sz w:val="18"/>
                <w:szCs w:val="18"/>
                <w:lang w:val="es-MX"/>
              </w:rPr>
              <w:t>09:59</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3552D4AA"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D83DE2"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AD4092">
              <w:rPr>
                <w:rFonts w:ascii="Arial Nova Light" w:eastAsia="Arial" w:hAnsi="Arial Nova Light" w:cs="Arial"/>
                <w:sz w:val="18"/>
                <w:szCs w:val="18"/>
                <w:lang w:val="es-MX"/>
              </w:rPr>
              <w:t>00</w:t>
            </w:r>
            <w:r w:rsidR="00CD05CD">
              <w:rPr>
                <w:rFonts w:ascii="Arial Nova Light" w:eastAsia="Arial" w:hAnsi="Arial Nova Light" w:cs="Arial"/>
                <w:sz w:val="18"/>
                <w:szCs w:val="18"/>
                <w:lang w:val="es-MX"/>
              </w:rPr>
              <w:t xml:space="preserve">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Default="001C6C14" w:rsidP="001A26BC">
      <w:pPr>
        <w:spacing w:line="240" w:lineRule="auto"/>
        <w:ind w:right="51"/>
        <w:rPr>
          <w:rFonts w:ascii="Arial Nova Light" w:hAnsi="Arial Nova Light" w:cs="Arial"/>
          <w:b/>
          <w:bCs/>
          <w:sz w:val="20"/>
          <w:szCs w:val="20"/>
          <w:lang w:val="es-MX"/>
        </w:rPr>
      </w:pPr>
      <w:bookmarkStart w:id="0" w:name="_Hlk89325064"/>
    </w:p>
    <w:p w14:paraId="457CE96D" w14:textId="77777777" w:rsidR="00832CC8" w:rsidRDefault="00832CC8" w:rsidP="001A26BC">
      <w:pPr>
        <w:spacing w:line="240" w:lineRule="auto"/>
        <w:ind w:right="51"/>
        <w:rPr>
          <w:rFonts w:ascii="Arial Nova Light" w:hAnsi="Arial Nova Light" w:cs="Arial"/>
          <w:b/>
          <w:bCs/>
          <w:sz w:val="20"/>
          <w:szCs w:val="20"/>
          <w:lang w:val="es-MX"/>
        </w:rPr>
      </w:pPr>
    </w:p>
    <w:p w14:paraId="0687EB57" w14:textId="3BFBEE68" w:rsidR="007B2F28" w:rsidRPr="00A24F85" w:rsidRDefault="00B04AEE" w:rsidP="001A26BC">
      <w:p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 xml:space="preserve">artículo </w:t>
      </w:r>
      <w:r>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Pr>
          <w:rFonts w:ascii="Arial Nova Light" w:hAnsi="Arial Nova Light" w:cs="Arial"/>
          <w:sz w:val="20"/>
          <w:szCs w:val="20"/>
          <w:lang w:val="es-MX"/>
        </w:rPr>
        <w:t>Título Tercero</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Pr>
          <w:rFonts w:ascii="Arial Nova Light" w:hAnsi="Arial Nova Light" w:cs="Arial"/>
          <w:sz w:val="20"/>
          <w:szCs w:val="20"/>
          <w:lang w:val="es-MX"/>
        </w:rPr>
        <w:t>y Título Segundo</w:t>
      </w:r>
      <w:r w:rsidRPr="001A26BC">
        <w:rPr>
          <w:rFonts w:ascii="Arial Nova Light" w:hAnsi="Arial Nova Light" w:cs="Arial"/>
          <w:sz w:val="20"/>
          <w:szCs w:val="20"/>
          <w:lang w:val="es-MX"/>
        </w:rPr>
        <w:t xml:space="preserve"> del Reglamento de la Ley antes mencionada, así como lo previsto en el Capítulo V “De las Adquisiciones”, sección segunda “De la Licitación Pública” de las </w:t>
      </w:r>
      <w:r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w:t>
      </w:r>
      <w:r w:rsidR="007B2F28" w:rsidRPr="00A24F85">
        <w:rPr>
          <w:rFonts w:ascii="Arial Nova Light" w:hAnsi="Arial Nova Light" w:cs="Arial"/>
          <w:sz w:val="20"/>
          <w:szCs w:val="20"/>
          <w:lang w:val="es-MX"/>
        </w:rPr>
        <w:t xml:space="preserve">;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007B2F28" w:rsidRPr="00A24F85">
        <w:rPr>
          <w:rFonts w:ascii="Arial Nova Light" w:hAnsi="Arial Nova Light" w:cs="Arial"/>
          <w:sz w:val="20"/>
          <w:szCs w:val="20"/>
          <w:lang w:val="es-MX"/>
        </w:rPr>
        <w:t>Concurrencia del Comité</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3F5F91">
        <w:rPr>
          <w:rFonts w:ascii="Arial Nova Light" w:hAnsi="Arial Nova Light" w:cs="Arial"/>
          <w:b/>
          <w:bCs/>
          <w:sz w:val="20"/>
          <w:szCs w:val="20"/>
          <w:lang w:val="es-MX"/>
        </w:rPr>
        <w:t>CCLJ-DA-UCC-LPL-0</w:t>
      </w:r>
      <w:r w:rsidR="00832CC8">
        <w:rPr>
          <w:rFonts w:ascii="Arial Nova Light" w:hAnsi="Arial Nova Light" w:cs="Arial"/>
          <w:b/>
          <w:bCs/>
          <w:sz w:val="20"/>
          <w:szCs w:val="20"/>
          <w:lang w:val="es-MX"/>
        </w:rPr>
        <w:t>1</w:t>
      </w:r>
      <w:r w:rsidR="001B4034">
        <w:rPr>
          <w:rFonts w:ascii="Arial Nova Light" w:hAnsi="Arial Nova Light" w:cs="Arial"/>
          <w:b/>
          <w:bCs/>
          <w:sz w:val="20"/>
          <w:szCs w:val="20"/>
          <w:lang w:val="es-MX"/>
        </w:rPr>
        <w:t>1</w:t>
      </w:r>
      <w:r w:rsidR="003F5F91">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8848BC" w:rsidRPr="00A24F85">
        <w:rPr>
          <w:rFonts w:ascii="Arial Nova Light" w:hAnsi="Arial Nova Light" w:cs="Arial"/>
          <w:b/>
          <w:bCs/>
          <w:sz w:val="20"/>
          <w:szCs w:val="20"/>
          <w:lang w:val="es-MX"/>
        </w:rPr>
        <w:t>”</w:t>
      </w:r>
      <w:r w:rsidR="007B2F28" w:rsidRPr="00A24F85">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la cual se llevará a cabo con Recursos Federales No Etiquetados </w:t>
      </w:r>
      <w:proofErr w:type="spellStart"/>
      <w:r w:rsidR="007B2F28" w:rsidRPr="00A24F85">
        <w:rPr>
          <w:rFonts w:ascii="Arial Nova Light" w:hAnsi="Arial Nova Light" w:cs="Arial"/>
          <w:sz w:val="20"/>
          <w:szCs w:val="20"/>
          <w:lang w:val="es-MX"/>
        </w:rPr>
        <w:t>Subfuente</w:t>
      </w:r>
      <w:proofErr w:type="spellEnd"/>
      <w:r w:rsidR="007B2F28" w:rsidRPr="00A24F85">
        <w:rPr>
          <w:rFonts w:ascii="Arial Nova Light" w:hAnsi="Arial Nova Light" w:cs="Arial"/>
          <w:sz w:val="20"/>
          <w:szCs w:val="20"/>
          <w:lang w:val="es-MX"/>
        </w:rPr>
        <w:t xml:space="preserve"> de Financiamiento Participaciones Federales No Condicionadas, en el Capítulo </w:t>
      </w:r>
      <w:r w:rsidR="003F5F91">
        <w:rPr>
          <w:rFonts w:ascii="Arial Nova Light" w:hAnsi="Arial Nova Light" w:cs="Arial"/>
          <w:b/>
          <w:bCs/>
          <w:sz w:val="20"/>
          <w:szCs w:val="20"/>
          <w:lang w:val="es-MX"/>
        </w:rPr>
        <w:t>3</w:t>
      </w:r>
      <w:r w:rsidR="007B2F28" w:rsidRPr="00A24F85">
        <w:rPr>
          <w:rFonts w:ascii="Arial Nova Light" w:hAnsi="Arial Nova Light" w:cs="Arial"/>
          <w:b/>
          <w:bCs/>
          <w:sz w:val="20"/>
          <w:szCs w:val="20"/>
          <w:lang w:val="es-MX"/>
        </w:rPr>
        <w:t>000</w:t>
      </w:r>
      <w:r w:rsidR="007B2F28" w:rsidRPr="00A24F85">
        <w:rPr>
          <w:rFonts w:ascii="Arial Nova Light" w:hAnsi="Arial Nova Light" w:cs="Arial"/>
          <w:sz w:val="20"/>
          <w:szCs w:val="20"/>
          <w:lang w:val="es-MX"/>
        </w:rPr>
        <w:t xml:space="preserve">, partida </w:t>
      </w:r>
      <w:r w:rsidR="003F5F91">
        <w:rPr>
          <w:rFonts w:ascii="Arial Nova Light" w:hAnsi="Arial Nova Light" w:cs="Arial"/>
          <w:b/>
          <w:bCs/>
          <w:sz w:val="20"/>
          <w:szCs w:val="20"/>
          <w:lang w:val="es-MX"/>
        </w:rPr>
        <w:t>35</w:t>
      </w:r>
      <w:r w:rsidR="001B4034">
        <w:rPr>
          <w:rFonts w:ascii="Arial Nova Light" w:hAnsi="Arial Nova Light" w:cs="Arial"/>
          <w:b/>
          <w:bCs/>
          <w:sz w:val="20"/>
          <w:szCs w:val="20"/>
          <w:lang w:val="es-MX"/>
        </w:rPr>
        <w:t>71</w:t>
      </w:r>
      <w:r w:rsidR="007B2F28" w:rsidRPr="00A24F85">
        <w:rPr>
          <w:rFonts w:ascii="Arial Nova Light" w:hAnsi="Arial Nova Light" w:cs="Arial"/>
          <w:sz w:val="20"/>
          <w:szCs w:val="20"/>
          <w:lang w:val="es-MX"/>
        </w:rPr>
        <w:t xml:space="preserve"> </w:t>
      </w:r>
      <w:r w:rsidR="007B2F28" w:rsidRPr="00930069">
        <w:rPr>
          <w:rFonts w:ascii="Arial Nova Light" w:hAnsi="Arial Nova Light" w:cs="Arial"/>
          <w:b/>
          <w:bCs/>
          <w:sz w:val="20"/>
          <w:szCs w:val="20"/>
          <w:lang w:val="es-MX"/>
        </w:rPr>
        <w:t>“</w:t>
      </w:r>
      <w:r w:rsidR="001B4034" w:rsidRPr="001B4034">
        <w:rPr>
          <w:rFonts w:ascii="Arial Nova Light" w:hAnsi="Arial Nova Light" w:cs="Arial"/>
          <w:b/>
          <w:bCs/>
          <w:sz w:val="20"/>
          <w:szCs w:val="20"/>
          <w:lang w:val="es-MX"/>
        </w:rPr>
        <w:t>Instalación, reparación y mantenimiento de maquinaria y otros equipos</w:t>
      </w:r>
      <w:r w:rsidR="00930069">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para aplicarse dentro del presupuesto de egresos del Ejercicio Fiscal 2025 de este </w:t>
      </w:r>
      <w:r w:rsidR="007B2F28" w:rsidRPr="00A24F85">
        <w:rPr>
          <w:rFonts w:ascii="Arial Nova Light" w:hAnsi="Arial Nova Light" w:cs="Arial"/>
          <w:b/>
          <w:bCs/>
          <w:sz w:val="20"/>
          <w:szCs w:val="20"/>
          <w:lang w:val="es-MX"/>
        </w:rPr>
        <w:t>“Organismo”,</w:t>
      </w:r>
      <w:r w:rsidR="007B2F28"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748F3419"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CRM/SA/0</w:t>
      </w:r>
      <w:r w:rsidR="00832CC8">
        <w:rPr>
          <w:rFonts w:ascii="Arial Nova Light" w:hAnsi="Arial Nova Light" w:cs="Arial"/>
          <w:b/>
          <w:sz w:val="20"/>
          <w:szCs w:val="20"/>
          <w:lang w:val="es-MX"/>
        </w:rPr>
        <w:t>8</w:t>
      </w:r>
      <w:r w:rsidR="001B4034">
        <w:rPr>
          <w:rFonts w:ascii="Arial Nova Light" w:hAnsi="Arial Nova Light" w:cs="Arial"/>
          <w:b/>
          <w:sz w:val="20"/>
          <w:szCs w:val="20"/>
          <w:lang w:val="es-MX"/>
        </w:rPr>
        <w:t>6</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Retención del monto total de los “CONTRATOS” de bienes y servicios antes de I.V.A. otorgado bajo convocatoria pública para la licitación pública, que será </w:t>
            </w:r>
            <w:r w:rsidRPr="00FD5BFD">
              <w:rPr>
                <w:rFonts w:ascii="Arial Nova Light" w:eastAsia="Arial" w:hAnsi="Arial Nova Light" w:cs="Arial"/>
                <w:sz w:val="20"/>
                <w:szCs w:val="20"/>
                <w:lang w:val="es-MX"/>
              </w:rPr>
              <w:lastRenderedPageBreak/>
              <w:t>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w:t>
            </w:r>
            <w:proofErr w:type="gramStart"/>
            <w:r w:rsidRPr="00FD5BFD">
              <w:rPr>
                <w:rFonts w:ascii="Arial Nova Light" w:eastAsia="Arial" w:hAnsi="Arial Nova Light" w:cs="Arial"/>
                <w:sz w:val="20"/>
                <w:szCs w:val="20"/>
                <w:lang w:val="es-MX"/>
              </w:rPr>
              <w:t>de acuerdo a</w:t>
            </w:r>
            <w:proofErr w:type="gramEnd"/>
            <w:r w:rsidRPr="00FD5BFD">
              <w:rPr>
                <w:rFonts w:ascii="Arial Nova Light" w:eastAsia="Arial" w:hAnsi="Arial Nova Light" w:cs="Arial"/>
                <w:sz w:val="20"/>
                <w:szCs w:val="20"/>
                <w:lang w:val="es-MX"/>
              </w:rPr>
              <w:t xml:space="preserve">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Pr="00FD5BFD">
              <w:rPr>
                <w:rFonts w:ascii="Arial Nova Light" w:hAnsi="Arial Nova Light" w:cs="Arial"/>
                <w:sz w:val="20"/>
                <w:szCs w:val="20"/>
              </w:rPr>
              <w:lastRenderedPageBreak/>
              <w:t>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74CFB2EA"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B04AEE">
        <w:rPr>
          <w:rFonts w:ascii="Arial Nova Light" w:eastAsia="Arial" w:hAnsi="Arial Nova Light" w:cs="Arial"/>
          <w:b/>
          <w:bCs/>
          <w:sz w:val="20"/>
          <w:szCs w:val="20"/>
        </w:rPr>
        <w:t>2</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1E864E9C"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04AEE" w:rsidRPr="00FD5BFD">
        <w:rPr>
          <w:rFonts w:ascii="Arial Nova Light" w:hAnsi="Arial Nova Light" w:cs="Arial"/>
          <w:color w:val="auto"/>
          <w:sz w:val="20"/>
          <w:szCs w:val="20"/>
          <w:lang w:eastAsia="es-ES"/>
        </w:rPr>
        <w:t xml:space="preserve">treinta (30) días </w:t>
      </w:r>
      <w:r w:rsidR="00B04AEE">
        <w:rPr>
          <w:rFonts w:ascii="Arial Nova Light" w:hAnsi="Arial Nova Light" w:cs="Arial"/>
          <w:color w:val="auto"/>
          <w:sz w:val="20"/>
          <w:szCs w:val="20"/>
          <w:lang w:eastAsia="es-ES"/>
        </w:rPr>
        <w:t xml:space="preserve">naturales contados a partir de </w:t>
      </w:r>
      <w:r w:rsidR="00B04AEE" w:rsidRPr="00FD5BFD">
        <w:rPr>
          <w:rFonts w:ascii="Arial Nova Light" w:hAnsi="Arial Nova Light" w:cs="Arial"/>
          <w:color w:val="auto"/>
          <w:sz w:val="20"/>
          <w:szCs w:val="20"/>
          <w:lang w:eastAsia="es-ES"/>
        </w:rPr>
        <w:t>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1A5BA2C6"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04AEE" w:rsidRPr="00FD5BFD">
        <w:rPr>
          <w:rFonts w:ascii="Arial Nova Light" w:hAnsi="Arial Nova Light" w:cs="Arial"/>
          <w:color w:val="auto"/>
          <w:sz w:val="20"/>
          <w:szCs w:val="20"/>
          <w:lang w:eastAsia="es-ES"/>
        </w:rPr>
        <w:t xml:space="preserve">treinta (30) días </w:t>
      </w:r>
      <w:r w:rsidR="00B04AEE">
        <w:rPr>
          <w:rFonts w:ascii="Arial Nova Light" w:hAnsi="Arial Nova Light" w:cs="Arial"/>
          <w:color w:val="auto"/>
          <w:sz w:val="20"/>
          <w:szCs w:val="20"/>
          <w:lang w:eastAsia="es-ES"/>
        </w:rPr>
        <w:t xml:space="preserve">naturales contados a partir de </w:t>
      </w:r>
      <w:r w:rsidR="00B04AEE" w:rsidRPr="00FD5BFD">
        <w:rPr>
          <w:rFonts w:ascii="Arial Nova Light" w:hAnsi="Arial Nova Light" w:cs="Arial"/>
          <w:color w:val="auto"/>
          <w:sz w:val="20"/>
          <w:szCs w:val="20"/>
          <w:lang w:eastAsia="es-ES"/>
        </w:rPr>
        <w:t>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29BA8E3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04AEE" w:rsidRPr="00FD5BFD">
        <w:rPr>
          <w:rFonts w:ascii="Arial Nova Light" w:hAnsi="Arial Nova Light" w:cs="Arial"/>
          <w:color w:val="auto"/>
          <w:sz w:val="20"/>
          <w:szCs w:val="20"/>
          <w:lang w:eastAsia="es-ES"/>
        </w:rPr>
        <w:t xml:space="preserve">treinta (30) días </w:t>
      </w:r>
      <w:r w:rsidR="00B04AEE">
        <w:rPr>
          <w:rFonts w:ascii="Arial Nova Light" w:hAnsi="Arial Nova Light" w:cs="Arial"/>
          <w:color w:val="auto"/>
          <w:sz w:val="20"/>
          <w:szCs w:val="20"/>
          <w:lang w:eastAsia="es-ES"/>
        </w:rPr>
        <w:t xml:space="preserve">naturales contados a partir de </w:t>
      </w:r>
      <w:r w:rsidR="00B04AEE" w:rsidRPr="00FD5BFD">
        <w:rPr>
          <w:rFonts w:ascii="Arial Nova Light" w:hAnsi="Arial Nova Light" w:cs="Arial"/>
          <w:color w:val="auto"/>
          <w:sz w:val="20"/>
          <w:szCs w:val="20"/>
          <w:lang w:eastAsia="es-ES"/>
        </w:rPr>
        <w:t>la fecha del acto de presentación y apertura de proposiciones.</w:t>
      </w:r>
    </w:p>
    <w:p w14:paraId="3EEF3A93" w14:textId="4960E05A" w:rsidR="00AB4D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5C43D35A" w14:textId="298F4590" w:rsidR="00B04AEE" w:rsidRPr="00B04AEE" w:rsidRDefault="00B04AEE" w:rsidP="00B04AEE">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Acompañada del acuse de autorización de opinión pública para que el </w:t>
      </w:r>
      <w:r>
        <w:rPr>
          <w:rFonts w:ascii="Arial Nova Light" w:hAnsi="Arial Nova Light" w:cs="Arial"/>
          <w:color w:val="auto"/>
          <w:sz w:val="20"/>
          <w:szCs w:val="20"/>
          <w:lang w:eastAsia="es-ES"/>
        </w:rPr>
        <w:t>SAT</w:t>
      </w:r>
      <w:r w:rsidRPr="00841A6F">
        <w:rPr>
          <w:rFonts w:ascii="Arial Nova Light" w:hAnsi="Arial Nova Light" w:cs="Arial"/>
          <w:color w:val="auto"/>
          <w:sz w:val="20"/>
          <w:szCs w:val="20"/>
          <w:lang w:eastAsia="es-ES"/>
        </w:rPr>
        <w:t xml:space="preserve"> pueda hacer público el resultado de la consulta de su opinión de cumplimiento de obligaciones fiscales</w:t>
      </w:r>
      <w:r>
        <w:rPr>
          <w:rFonts w:ascii="Arial Nova Light" w:hAnsi="Arial Nova Light" w:cs="Arial"/>
          <w:color w:val="auto"/>
          <w:sz w:val="20"/>
          <w:szCs w:val="20"/>
          <w:lang w:eastAsia="es-ES"/>
        </w:rPr>
        <w:t>, en términos del artículo 2.1.24 de la Resolución Miscelánea Fiscal para 2025.</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w:t>
      </w:r>
      <w:r w:rsidRPr="00FD5BFD">
        <w:rPr>
          <w:rFonts w:ascii="Arial Nova Light" w:hAnsi="Arial Nova Light" w:cs="Arial"/>
          <w:sz w:val="20"/>
          <w:szCs w:val="20"/>
          <w:lang w:val="es-MX"/>
        </w:rPr>
        <w:lastRenderedPageBreak/>
        <w:t>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w:t>
      </w:r>
      <w:r w:rsidRPr="00FD5BFD">
        <w:rPr>
          <w:rFonts w:ascii="Arial Nova Light" w:hAnsi="Arial Nova Light" w:cs="Arial"/>
          <w:sz w:val="20"/>
          <w:szCs w:val="20"/>
          <w:lang w:eastAsia="es-ES"/>
        </w:rPr>
        <w:lastRenderedPageBreak/>
        <w:t>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los 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w:t>
      </w:r>
      <w:r w:rsidRPr="00FD5BFD">
        <w:rPr>
          <w:rFonts w:ascii="Arial Nova Light" w:hAnsi="Arial Nova Light" w:cs="Arial"/>
          <w:sz w:val="20"/>
          <w:szCs w:val="20"/>
          <w:lang w:val="es-MX"/>
        </w:rPr>
        <w:lastRenderedPageBreak/>
        <w:t xml:space="preserve">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w:t>
      </w:r>
      <w:r w:rsidRPr="00FD5BFD">
        <w:rPr>
          <w:rFonts w:ascii="Arial Nova Light" w:hAnsi="Arial Nova Light" w:cs="Arial"/>
          <w:sz w:val="20"/>
          <w:szCs w:val="20"/>
          <w:lang w:val="es-MX"/>
        </w:rPr>
        <w:lastRenderedPageBreak/>
        <w:t>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7807977"/>
      <w:bookmarkStart w:id="45" w:name="_Toc189564866"/>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lastRenderedPageBreak/>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lastRenderedPageBreak/>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ey se podrá proceder a cancelar.</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575FF361"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692C95">
        <w:rPr>
          <w:rFonts w:ascii="Arial Nova Light" w:hAnsi="Arial Nova Light" w:cs="Arial"/>
          <w:b/>
          <w:bCs/>
          <w:sz w:val="20"/>
          <w:szCs w:val="20"/>
          <w:lang w:val="es-MX"/>
        </w:rPr>
        <w:t>06 de noviembre</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754416F"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t>LICITACIÓN PÚBLICA LOCAL</w:t>
      </w:r>
    </w:p>
    <w:p w14:paraId="065F168B"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8F09676"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04F5CB1D" w14:textId="4583D446" w:rsidR="000D0218" w:rsidRP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7C98B0B" w14:textId="346D8A31" w:rsidR="00832CC8"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drawing>
          <wp:inline distT="0" distB="0" distL="0" distR="0" wp14:anchorId="695B5237" wp14:editId="6705319C">
            <wp:extent cx="4877167" cy="6277971"/>
            <wp:effectExtent l="0" t="0" r="0" b="8890"/>
            <wp:docPr id="1657664065" name="Imagen 1"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664065" name="Imagen 1" descr="Imagen que contiene Texto&#10;&#10;El contenido generado por IA puede ser incorrecto."/>
                    <pic:cNvPicPr/>
                  </pic:nvPicPr>
                  <pic:blipFill>
                    <a:blip r:embed="rId10"/>
                    <a:stretch>
                      <a:fillRect/>
                    </a:stretch>
                  </pic:blipFill>
                  <pic:spPr>
                    <a:xfrm>
                      <a:off x="0" y="0"/>
                      <a:ext cx="4893538" cy="6299044"/>
                    </a:xfrm>
                    <a:prstGeom prst="rect">
                      <a:avLst/>
                    </a:prstGeom>
                  </pic:spPr>
                </pic:pic>
              </a:graphicData>
            </a:graphic>
          </wp:inline>
        </w:drawing>
      </w:r>
    </w:p>
    <w:p w14:paraId="21D21F7C" w14:textId="75E9474C" w:rsidR="00692C95"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lastRenderedPageBreak/>
        <w:drawing>
          <wp:inline distT="0" distB="0" distL="0" distR="0" wp14:anchorId="1161345C" wp14:editId="183F59F8">
            <wp:extent cx="5834380" cy="7538720"/>
            <wp:effectExtent l="0" t="0" r="0" b="5080"/>
            <wp:docPr id="145369396"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69396" name="Imagen 1" descr="Texto&#10;&#10;El contenido generado por IA puede ser incorrecto."/>
                    <pic:cNvPicPr/>
                  </pic:nvPicPr>
                  <pic:blipFill>
                    <a:blip r:embed="rId11"/>
                    <a:stretch>
                      <a:fillRect/>
                    </a:stretch>
                  </pic:blipFill>
                  <pic:spPr>
                    <a:xfrm>
                      <a:off x="0" y="0"/>
                      <a:ext cx="5834380" cy="7538720"/>
                    </a:xfrm>
                    <a:prstGeom prst="rect">
                      <a:avLst/>
                    </a:prstGeom>
                  </pic:spPr>
                </pic:pic>
              </a:graphicData>
            </a:graphic>
          </wp:inline>
        </w:drawing>
      </w:r>
    </w:p>
    <w:p w14:paraId="1A4BC805" w14:textId="67633FB3" w:rsidR="00692C95"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lastRenderedPageBreak/>
        <w:drawing>
          <wp:inline distT="0" distB="0" distL="0" distR="0" wp14:anchorId="658FAB37" wp14:editId="7B7E26B2">
            <wp:extent cx="5871845" cy="7538720"/>
            <wp:effectExtent l="0" t="0" r="0" b="5080"/>
            <wp:docPr id="1850874788" name="Imagen 1"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874788" name="Imagen 1" descr="Imagen que contiene Texto&#10;&#10;El contenido generado por IA puede ser incorrecto."/>
                    <pic:cNvPicPr/>
                  </pic:nvPicPr>
                  <pic:blipFill>
                    <a:blip r:embed="rId12"/>
                    <a:stretch>
                      <a:fillRect/>
                    </a:stretch>
                  </pic:blipFill>
                  <pic:spPr>
                    <a:xfrm>
                      <a:off x="0" y="0"/>
                      <a:ext cx="5871845" cy="7538720"/>
                    </a:xfrm>
                    <a:prstGeom prst="rect">
                      <a:avLst/>
                    </a:prstGeom>
                  </pic:spPr>
                </pic:pic>
              </a:graphicData>
            </a:graphic>
          </wp:inline>
        </w:drawing>
      </w:r>
    </w:p>
    <w:p w14:paraId="2A28D4F3" w14:textId="2B862153" w:rsidR="00692C95"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lastRenderedPageBreak/>
        <w:drawing>
          <wp:inline distT="0" distB="0" distL="0" distR="0" wp14:anchorId="53B92F17" wp14:editId="5F7ADD2E">
            <wp:extent cx="5866765" cy="7538720"/>
            <wp:effectExtent l="0" t="0" r="635" b="5080"/>
            <wp:docPr id="1101578631"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578631" name="Imagen 1" descr="Texto&#10;&#10;El contenido generado por IA puede ser incorrecto."/>
                    <pic:cNvPicPr/>
                  </pic:nvPicPr>
                  <pic:blipFill>
                    <a:blip r:embed="rId13"/>
                    <a:stretch>
                      <a:fillRect/>
                    </a:stretch>
                  </pic:blipFill>
                  <pic:spPr>
                    <a:xfrm>
                      <a:off x="0" y="0"/>
                      <a:ext cx="5866765" cy="7538720"/>
                    </a:xfrm>
                    <a:prstGeom prst="rect">
                      <a:avLst/>
                    </a:prstGeom>
                  </pic:spPr>
                </pic:pic>
              </a:graphicData>
            </a:graphic>
          </wp:inline>
        </w:drawing>
      </w:r>
    </w:p>
    <w:p w14:paraId="727B2E5B" w14:textId="4C7ED530" w:rsidR="00692C95" w:rsidRDefault="00692C95" w:rsidP="00F4124E">
      <w:pPr>
        <w:spacing w:line="240" w:lineRule="auto"/>
        <w:jc w:val="center"/>
        <w:rPr>
          <w:rFonts w:ascii="Arial Nova Light" w:hAnsi="Arial Nova Light"/>
          <w:b/>
          <w:bCs/>
          <w:noProof/>
          <w:sz w:val="20"/>
          <w:szCs w:val="20"/>
          <w:highlight w:val="yellow"/>
          <w:lang w:val="es-MX"/>
        </w:rPr>
      </w:pPr>
      <w:r w:rsidRPr="00692C95">
        <w:rPr>
          <w:rFonts w:ascii="Arial Nova Light" w:hAnsi="Arial Nova Light"/>
          <w:b/>
          <w:bCs/>
          <w:noProof/>
          <w:sz w:val="20"/>
          <w:szCs w:val="20"/>
          <w:lang w:val="es-MX"/>
        </w:rPr>
        <w:lastRenderedPageBreak/>
        <w:drawing>
          <wp:inline distT="0" distB="0" distL="0" distR="0" wp14:anchorId="38C5757E" wp14:editId="5194DC2C">
            <wp:extent cx="5810250" cy="7538720"/>
            <wp:effectExtent l="0" t="0" r="0" b="5080"/>
            <wp:docPr id="170042972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429723" name="Imagen 1" descr="Texto&#10;&#10;El contenido generado por IA puede ser incorrecto."/>
                    <pic:cNvPicPr/>
                  </pic:nvPicPr>
                  <pic:blipFill>
                    <a:blip r:embed="rId14"/>
                    <a:stretch>
                      <a:fillRect/>
                    </a:stretch>
                  </pic:blipFill>
                  <pic:spPr>
                    <a:xfrm>
                      <a:off x="0" y="0"/>
                      <a:ext cx="5810250" cy="7538720"/>
                    </a:xfrm>
                    <a:prstGeom prst="rect">
                      <a:avLst/>
                    </a:prstGeom>
                  </pic:spPr>
                </pic:pic>
              </a:graphicData>
            </a:graphic>
          </wp:inline>
        </w:drawing>
      </w: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468A57F1"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45C8FB1"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E015CA8"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054C6D54"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3D04C160"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1B4034" w:rsidRPr="00A24F85">
        <w:rPr>
          <w:rFonts w:ascii="Arial Nova Light" w:hAnsi="Arial Nova Light" w:cs="Arial"/>
          <w:sz w:val="20"/>
          <w:szCs w:val="20"/>
          <w:lang w:val="es-MX"/>
        </w:rPr>
        <w:t xml:space="preserve">Licitación Pública Local sin Concurrencia del Comité </w:t>
      </w:r>
      <w:r w:rsidR="001B4034">
        <w:rPr>
          <w:rFonts w:ascii="Arial Nova Light" w:hAnsi="Arial Nova Light" w:cs="Arial"/>
          <w:sz w:val="20"/>
          <w:szCs w:val="20"/>
          <w:lang w:val="es-MX"/>
        </w:rPr>
        <w:t xml:space="preserve"> </w:t>
      </w:r>
      <w:r w:rsidR="001B4034">
        <w:rPr>
          <w:rFonts w:ascii="Arial Nova Light" w:hAnsi="Arial Nova Light" w:cs="Arial"/>
          <w:b/>
          <w:bCs/>
          <w:sz w:val="20"/>
          <w:szCs w:val="20"/>
          <w:lang w:val="es-MX"/>
        </w:rPr>
        <w:t xml:space="preserve">CCLJ-DA-UCC-LPL-011/2025 </w:t>
      </w:r>
      <w:r w:rsidR="001B4034"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1B4034"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41AF32DD" w14:textId="77777777" w:rsidR="002C104B" w:rsidRPr="004818BC" w:rsidRDefault="002C104B" w:rsidP="001A26BC">
      <w:pPr>
        <w:spacing w:line="240" w:lineRule="auto"/>
        <w:rPr>
          <w:sz w:val="20"/>
          <w:szCs w:val="20"/>
          <w:lang w:val="es-MX"/>
        </w:rPr>
      </w:pPr>
    </w:p>
    <w:p w14:paraId="01097DBB" w14:textId="77777777" w:rsidR="002C104B" w:rsidRPr="004818BC" w:rsidRDefault="002C104B" w:rsidP="001A26BC">
      <w:pPr>
        <w:spacing w:line="240" w:lineRule="auto"/>
        <w:rPr>
          <w:sz w:val="20"/>
          <w:szCs w:val="20"/>
          <w:lang w:val="es-MX"/>
        </w:rPr>
      </w:pPr>
    </w:p>
    <w:p w14:paraId="1B4D4E79" w14:textId="77777777" w:rsidR="002C104B" w:rsidRDefault="002C104B" w:rsidP="001A26BC">
      <w:pPr>
        <w:spacing w:line="240" w:lineRule="auto"/>
        <w:rPr>
          <w:sz w:val="20"/>
          <w:szCs w:val="20"/>
          <w:lang w:val="es-MX"/>
        </w:rPr>
      </w:pPr>
    </w:p>
    <w:p w14:paraId="79425E4F" w14:textId="77777777" w:rsidR="002A0B70" w:rsidRDefault="002A0B70" w:rsidP="001A26BC">
      <w:pPr>
        <w:spacing w:line="240" w:lineRule="auto"/>
        <w:rPr>
          <w:sz w:val="20"/>
          <w:szCs w:val="20"/>
          <w:lang w:val="es-MX"/>
        </w:rPr>
      </w:pPr>
    </w:p>
    <w:p w14:paraId="79BD18C3" w14:textId="77777777" w:rsidR="002A0B70" w:rsidRPr="004818BC" w:rsidRDefault="002A0B70" w:rsidP="001A26BC">
      <w:pPr>
        <w:spacing w:line="240" w:lineRule="auto"/>
        <w:rPr>
          <w:sz w:val="20"/>
          <w:szCs w:val="20"/>
          <w:lang w:val="es-MX"/>
        </w:rPr>
      </w:pPr>
    </w:p>
    <w:p w14:paraId="761BA3A5" w14:textId="77777777" w:rsidR="00B33A67" w:rsidRPr="004818BC" w:rsidRDefault="00B33A67"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600AF041"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EAFC50F"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82782F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7ED78E72"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2E80BA61"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B7AE498"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4A06E6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29B7BDA2"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las mismas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r w:rsidRPr="004818BC">
        <w:rPr>
          <w:rFonts w:ascii="Arial Nova Light" w:hAnsi="Arial Nova Light"/>
          <w:b/>
          <w:bCs/>
          <w:spacing w:val="-2"/>
          <w:sz w:val="20"/>
          <w:szCs w:val="20"/>
        </w:rPr>
        <w:t>Total</w:t>
      </w:r>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Pr="00F25DBE"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08F2B86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2985AD8"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9E2091B"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3F841538"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 xml:space="preserve">igente, el “LICITANTE” deberá acompañar al </w:t>
            </w:r>
            <w:r w:rsidRPr="004818BC">
              <w:rPr>
                <w:rFonts w:ascii="Arial Nova Light" w:hAnsi="Arial Nova Light"/>
                <w:b/>
                <w:sz w:val="18"/>
                <w:szCs w:val="18"/>
              </w:rPr>
              <w:lastRenderedPageBreak/>
              <w:t>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A0A13D8" w14:textId="77777777" w:rsidR="00A65841" w:rsidRDefault="00A65841" w:rsidP="00A64EE1">
      <w:pPr>
        <w:spacing w:line="240" w:lineRule="auto"/>
        <w:ind w:right="140"/>
        <w:jc w:val="center"/>
        <w:rPr>
          <w:rFonts w:ascii="Arial Nova Light" w:hAnsi="Arial Nova Light"/>
          <w:sz w:val="20"/>
          <w:szCs w:val="20"/>
          <w:highlight w:val="yellow"/>
        </w:rPr>
      </w:pPr>
    </w:p>
    <w:p w14:paraId="230F4FC8" w14:textId="77777777" w:rsidR="002A0B70" w:rsidRDefault="002A0B70" w:rsidP="00A64EE1">
      <w:pPr>
        <w:spacing w:line="240" w:lineRule="auto"/>
        <w:ind w:right="140"/>
        <w:jc w:val="center"/>
        <w:rPr>
          <w:rFonts w:ascii="Arial Nova Light" w:hAnsi="Arial Nova Light"/>
          <w:sz w:val="20"/>
          <w:szCs w:val="20"/>
          <w:highlight w:val="yellow"/>
        </w:rPr>
      </w:pPr>
    </w:p>
    <w:p w14:paraId="1589407B" w14:textId="77777777" w:rsidR="002A0B70" w:rsidRDefault="002A0B70" w:rsidP="00A64EE1">
      <w:pPr>
        <w:spacing w:line="240" w:lineRule="auto"/>
        <w:ind w:right="140"/>
        <w:jc w:val="center"/>
        <w:rPr>
          <w:rFonts w:ascii="Arial Nova Light" w:hAnsi="Arial Nova Light"/>
          <w:sz w:val="20"/>
          <w:szCs w:val="20"/>
          <w:highlight w:val="yellow"/>
        </w:rPr>
      </w:pPr>
    </w:p>
    <w:p w14:paraId="65AE5EAE" w14:textId="77777777" w:rsidR="00ED0711" w:rsidRPr="00B65412" w:rsidRDefault="00ED0711" w:rsidP="00A64EE1">
      <w:pPr>
        <w:spacing w:line="240" w:lineRule="auto"/>
        <w:ind w:right="140"/>
        <w:jc w:val="center"/>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492ED8F7"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5464A7B"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4A426DB"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78734EAF"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603DF488" w14:textId="6A024994" w:rsidR="00A64EE1" w:rsidRPr="00632BE1" w:rsidRDefault="004E76DE" w:rsidP="00632BE1">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1B4034" w:rsidRPr="00A24F85">
        <w:rPr>
          <w:rFonts w:ascii="Arial Nova Light" w:hAnsi="Arial Nova Light" w:cs="Arial"/>
          <w:sz w:val="20"/>
          <w:szCs w:val="20"/>
          <w:lang w:val="es-MX"/>
        </w:rPr>
        <w:t xml:space="preserve">Licitación Pública Local sin Concurrencia del Comité </w:t>
      </w:r>
      <w:r w:rsidR="001B4034">
        <w:rPr>
          <w:rFonts w:ascii="Arial Nova Light" w:hAnsi="Arial Nova Light" w:cs="Arial"/>
          <w:sz w:val="20"/>
          <w:szCs w:val="20"/>
          <w:lang w:val="es-MX"/>
        </w:rPr>
        <w:t xml:space="preserve"> </w:t>
      </w:r>
      <w:r w:rsidR="001B4034">
        <w:rPr>
          <w:rFonts w:ascii="Arial Nova Light" w:hAnsi="Arial Nova Light" w:cs="Arial"/>
          <w:b/>
          <w:bCs/>
          <w:sz w:val="20"/>
          <w:szCs w:val="20"/>
          <w:lang w:val="es-MX"/>
        </w:rPr>
        <w:t xml:space="preserve">CCLJ-DA-UCC-LPL-011/2025 </w:t>
      </w:r>
      <w:r w:rsidR="001B4034"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1B4034"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0965CD76"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tbl>
      <w:tblPr>
        <w:tblW w:w="11483" w:type="dxa"/>
        <w:tblInd w:w="-1139" w:type="dxa"/>
        <w:tblCellMar>
          <w:left w:w="70" w:type="dxa"/>
          <w:right w:w="70" w:type="dxa"/>
        </w:tblCellMar>
        <w:tblLook w:val="04A0" w:firstRow="1" w:lastRow="0" w:firstColumn="1" w:lastColumn="0" w:noHBand="0" w:noVBand="1"/>
      </w:tblPr>
      <w:tblGrid>
        <w:gridCol w:w="782"/>
        <w:gridCol w:w="3896"/>
        <w:gridCol w:w="709"/>
        <w:gridCol w:w="704"/>
        <w:gridCol w:w="572"/>
        <w:gridCol w:w="708"/>
        <w:gridCol w:w="709"/>
        <w:gridCol w:w="851"/>
        <w:gridCol w:w="567"/>
        <w:gridCol w:w="992"/>
        <w:gridCol w:w="993"/>
      </w:tblGrid>
      <w:tr w:rsidR="004348B6" w:rsidRPr="00885754" w14:paraId="190D1689" w14:textId="77777777" w:rsidTr="00F11C26">
        <w:trPr>
          <w:trHeight w:val="20"/>
        </w:trPr>
        <w:tc>
          <w:tcPr>
            <w:tcW w:w="11483" w:type="dxa"/>
            <w:gridSpan w:val="11"/>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04BB1B25" w14:textId="77777777" w:rsidR="004348B6" w:rsidRPr="00885754" w:rsidRDefault="004348B6" w:rsidP="00F11C26">
            <w:pPr>
              <w:spacing w:line="240" w:lineRule="auto"/>
              <w:jc w:val="center"/>
              <w:rPr>
                <w:rFonts w:ascii="Arial Nova Light" w:hAnsi="Arial Nova Light" w:cs="Calibri"/>
                <w:b/>
                <w:bCs/>
                <w:color w:val="FFFFFF"/>
                <w:sz w:val="12"/>
                <w:szCs w:val="12"/>
                <w:lang w:eastAsia="es-MX"/>
              </w:rPr>
            </w:pPr>
            <w:r w:rsidRPr="00885754">
              <w:rPr>
                <w:rFonts w:ascii="Arial Nova Light" w:hAnsi="Arial Nova Light" w:cs="Calibri"/>
                <w:b/>
                <w:bCs/>
                <w:color w:val="FFFFFF"/>
                <w:sz w:val="12"/>
                <w:szCs w:val="12"/>
                <w:lang w:eastAsia="es-MX"/>
              </w:rPr>
              <w:t>Partida Única</w:t>
            </w:r>
          </w:p>
        </w:tc>
      </w:tr>
      <w:tr w:rsidR="004348B6" w:rsidRPr="00885754" w14:paraId="48219A42" w14:textId="77777777" w:rsidTr="00F11C26">
        <w:trPr>
          <w:trHeight w:val="20"/>
        </w:trPr>
        <w:tc>
          <w:tcPr>
            <w:tcW w:w="782" w:type="dxa"/>
            <w:tcBorders>
              <w:top w:val="nil"/>
              <w:left w:val="single" w:sz="4" w:space="0" w:color="auto"/>
              <w:bottom w:val="single" w:sz="4" w:space="0" w:color="auto"/>
              <w:right w:val="single" w:sz="4" w:space="0" w:color="auto"/>
            </w:tcBorders>
            <w:shd w:val="clear" w:color="000000" w:fill="B1A0C7"/>
            <w:vAlign w:val="center"/>
            <w:hideMark/>
          </w:tcPr>
          <w:p w14:paraId="2626532C"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Consecutivo</w:t>
            </w:r>
          </w:p>
        </w:tc>
        <w:tc>
          <w:tcPr>
            <w:tcW w:w="3896" w:type="dxa"/>
            <w:tcBorders>
              <w:top w:val="nil"/>
              <w:left w:val="nil"/>
              <w:bottom w:val="single" w:sz="4" w:space="0" w:color="auto"/>
              <w:right w:val="single" w:sz="4" w:space="0" w:color="auto"/>
            </w:tcBorders>
            <w:shd w:val="clear" w:color="000000" w:fill="B1A0C7"/>
            <w:vAlign w:val="center"/>
            <w:hideMark/>
          </w:tcPr>
          <w:p w14:paraId="27518AD0"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Descripción</w:t>
            </w:r>
          </w:p>
        </w:tc>
        <w:tc>
          <w:tcPr>
            <w:tcW w:w="709" w:type="dxa"/>
            <w:tcBorders>
              <w:top w:val="nil"/>
              <w:left w:val="nil"/>
              <w:bottom w:val="single" w:sz="4" w:space="0" w:color="auto"/>
              <w:right w:val="single" w:sz="4" w:space="0" w:color="auto"/>
            </w:tcBorders>
            <w:shd w:val="clear" w:color="000000" w:fill="B1A0C7"/>
            <w:vAlign w:val="center"/>
            <w:hideMark/>
          </w:tcPr>
          <w:p w14:paraId="7E472081"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Unidad de medida</w:t>
            </w:r>
          </w:p>
        </w:tc>
        <w:tc>
          <w:tcPr>
            <w:tcW w:w="704" w:type="dxa"/>
            <w:tcBorders>
              <w:top w:val="nil"/>
              <w:left w:val="nil"/>
              <w:bottom w:val="single" w:sz="4" w:space="0" w:color="auto"/>
              <w:right w:val="single" w:sz="4" w:space="0" w:color="auto"/>
            </w:tcBorders>
            <w:shd w:val="clear" w:color="000000" w:fill="B1A0C7"/>
            <w:vAlign w:val="center"/>
            <w:hideMark/>
          </w:tcPr>
          <w:p w14:paraId="09B6F7FE"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Cantidad</w:t>
            </w:r>
          </w:p>
        </w:tc>
        <w:tc>
          <w:tcPr>
            <w:tcW w:w="572" w:type="dxa"/>
            <w:tcBorders>
              <w:top w:val="nil"/>
              <w:left w:val="nil"/>
              <w:bottom w:val="single" w:sz="4" w:space="0" w:color="auto"/>
              <w:right w:val="single" w:sz="4" w:space="0" w:color="auto"/>
            </w:tcBorders>
            <w:shd w:val="clear" w:color="000000" w:fill="B1A0C7"/>
            <w:vAlign w:val="center"/>
            <w:hideMark/>
          </w:tcPr>
          <w:p w14:paraId="4B5479F4"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proofErr w:type="gramStart"/>
            <w:r w:rsidRPr="00885754">
              <w:rPr>
                <w:rFonts w:ascii="Arial Nova Light" w:hAnsi="Arial Nova Light" w:cs="Calibri"/>
                <w:b/>
                <w:bCs/>
                <w:color w:val="000000"/>
                <w:sz w:val="12"/>
                <w:szCs w:val="12"/>
                <w:lang w:eastAsia="es-MX"/>
              </w:rPr>
              <w:t>Insumos a emplear</w:t>
            </w:r>
            <w:proofErr w:type="gramEnd"/>
          </w:p>
        </w:tc>
        <w:tc>
          <w:tcPr>
            <w:tcW w:w="708" w:type="dxa"/>
            <w:tcBorders>
              <w:top w:val="nil"/>
              <w:left w:val="nil"/>
              <w:bottom w:val="single" w:sz="4" w:space="0" w:color="auto"/>
              <w:right w:val="single" w:sz="4" w:space="0" w:color="auto"/>
            </w:tcBorders>
            <w:shd w:val="clear" w:color="000000" w:fill="B1A0C7"/>
            <w:vAlign w:val="center"/>
            <w:hideMark/>
          </w:tcPr>
          <w:p w14:paraId="02D765B4"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Fabricante</w:t>
            </w:r>
          </w:p>
        </w:tc>
        <w:tc>
          <w:tcPr>
            <w:tcW w:w="709" w:type="dxa"/>
            <w:tcBorders>
              <w:top w:val="nil"/>
              <w:left w:val="nil"/>
              <w:bottom w:val="single" w:sz="4" w:space="0" w:color="auto"/>
              <w:right w:val="single" w:sz="4" w:space="0" w:color="auto"/>
            </w:tcBorders>
            <w:shd w:val="clear" w:color="000000" w:fill="B1A0C7"/>
            <w:vAlign w:val="center"/>
            <w:hideMark/>
          </w:tcPr>
          <w:p w14:paraId="1C6558A0"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Garantías</w:t>
            </w:r>
          </w:p>
        </w:tc>
        <w:tc>
          <w:tcPr>
            <w:tcW w:w="851" w:type="dxa"/>
            <w:tcBorders>
              <w:top w:val="nil"/>
              <w:left w:val="nil"/>
              <w:bottom w:val="single" w:sz="4" w:space="0" w:color="auto"/>
              <w:right w:val="single" w:sz="4" w:space="0" w:color="auto"/>
            </w:tcBorders>
            <w:shd w:val="clear" w:color="000000" w:fill="B1A0C7"/>
            <w:vAlign w:val="center"/>
            <w:hideMark/>
          </w:tcPr>
          <w:p w14:paraId="7705A85F"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Precio Unitario (P.U.)</w:t>
            </w:r>
          </w:p>
        </w:tc>
        <w:tc>
          <w:tcPr>
            <w:tcW w:w="567" w:type="dxa"/>
            <w:tcBorders>
              <w:top w:val="nil"/>
              <w:left w:val="nil"/>
              <w:bottom w:val="single" w:sz="4" w:space="0" w:color="auto"/>
              <w:right w:val="single" w:sz="4" w:space="0" w:color="auto"/>
            </w:tcBorders>
            <w:shd w:val="clear" w:color="000000" w:fill="B1A0C7"/>
            <w:vAlign w:val="center"/>
            <w:hideMark/>
          </w:tcPr>
          <w:p w14:paraId="2F1948D6"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I.V.A.</w:t>
            </w:r>
          </w:p>
        </w:tc>
        <w:tc>
          <w:tcPr>
            <w:tcW w:w="992" w:type="dxa"/>
            <w:tcBorders>
              <w:top w:val="nil"/>
              <w:left w:val="nil"/>
              <w:bottom w:val="single" w:sz="4" w:space="0" w:color="auto"/>
              <w:right w:val="single" w:sz="4" w:space="0" w:color="auto"/>
            </w:tcBorders>
            <w:shd w:val="clear" w:color="000000" w:fill="B1A0C7"/>
            <w:vAlign w:val="center"/>
            <w:hideMark/>
          </w:tcPr>
          <w:p w14:paraId="780C0B30"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proofErr w:type="spellStart"/>
            <w:r w:rsidRPr="00885754">
              <w:rPr>
                <w:rFonts w:ascii="Arial Nova Light" w:hAnsi="Arial Nova Light" w:cs="Calibri"/>
                <w:b/>
                <w:bCs/>
                <w:color w:val="000000"/>
                <w:sz w:val="12"/>
                <w:szCs w:val="12"/>
                <w:lang w:eastAsia="es-MX"/>
              </w:rPr>
              <w:t>Sub-total</w:t>
            </w:r>
            <w:proofErr w:type="spellEnd"/>
            <w:r w:rsidRPr="00885754">
              <w:rPr>
                <w:rFonts w:ascii="Arial Nova Light" w:hAnsi="Arial Nova Light" w:cs="Calibri"/>
                <w:b/>
                <w:bCs/>
                <w:color w:val="000000"/>
                <w:sz w:val="12"/>
                <w:szCs w:val="12"/>
                <w:lang w:eastAsia="es-MX"/>
              </w:rPr>
              <w:t xml:space="preserve"> (P.U. con I.V.A.)</w:t>
            </w:r>
          </w:p>
        </w:tc>
        <w:tc>
          <w:tcPr>
            <w:tcW w:w="993" w:type="dxa"/>
            <w:tcBorders>
              <w:top w:val="nil"/>
              <w:left w:val="nil"/>
              <w:bottom w:val="single" w:sz="4" w:space="0" w:color="auto"/>
              <w:right w:val="single" w:sz="4" w:space="0" w:color="auto"/>
            </w:tcBorders>
            <w:shd w:val="clear" w:color="000000" w:fill="B1A0C7"/>
            <w:vAlign w:val="center"/>
            <w:hideMark/>
          </w:tcPr>
          <w:p w14:paraId="01161B4A"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Total (</w:t>
            </w:r>
            <w:proofErr w:type="spellStart"/>
            <w:r w:rsidRPr="00885754">
              <w:rPr>
                <w:rFonts w:ascii="Arial Nova Light" w:hAnsi="Arial Nova Light" w:cs="Calibri"/>
                <w:b/>
                <w:bCs/>
                <w:color w:val="000000"/>
                <w:sz w:val="12"/>
                <w:szCs w:val="12"/>
                <w:lang w:eastAsia="es-MX"/>
              </w:rPr>
              <w:t>Sub-total</w:t>
            </w:r>
            <w:proofErr w:type="spellEnd"/>
            <w:r w:rsidRPr="00885754">
              <w:rPr>
                <w:rFonts w:ascii="Arial Nova Light" w:hAnsi="Arial Nova Light" w:cs="Calibri"/>
                <w:b/>
                <w:bCs/>
                <w:color w:val="000000"/>
                <w:sz w:val="12"/>
                <w:szCs w:val="12"/>
                <w:lang w:eastAsia="es-MX"/>
              </w:rPr>
              <w:t xml:space="preserve"> por cantidad)</w:t>
            </w:r>
          </w:p>
        </w:tc>
      </w:tr>
      <w:tr w:rsidR="004348B6" w:rsidRPr="00885754" w14:paraId="7C34C589" w14:textId="77777777" w:rsidTr="00F11C26">
        <w:trPr>
          <w:trHeight w:val="20"/>
        </w:trPr>
        <w:tc>
          <w:tcPr>
            <w:tcW w:w="6091" w:type="dxa"/>
            <w:gridSpan w:val="4"/>
            <w:tcBorders>
              <w:top w:val="single" w:sz="4" w:space="0" w:color="auto"/>
              <w:left w:val="single" w:sz="4" w:space="0" w:color="auto"/>
              <w:bottom w:val="single" w:sz="4" w:space="0" w:color="auto"/>
              <w:right w:val="single" w:sz="4" w:space="0" w:color="auto"/>
            </w:tcBorders>
            <w:shd w:val="clear" w:color="000000" w:fill="FFCCFF"/>
            <w:vAlign w:val="center"/>
            <w:hideMark/>
          </w:tcPr>
          <w:p w14:paraId="4C27AE8B"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Detección de humo</w:t>
            </w:r>
          </w:p>
        </w:tc>
        <w:tc>
          <w:tcPr>
            <w:tcW w:w="572" w:type="dxa"/>
            <w:tcBorders>
              <w:top w:val="nil"/>
              <w:left w:val="nil"/>
              <w:bottom w:val="single" w:sz="4" w:space="0" w:color="auto"/>
              <w:right w:val="single" w:sz="4" w:space="0" w:color="auto"/>
            </w:tcBorders>
            <w:shd w:val="clear" w:color="000000" w:fill="000000"/>
            <w:noWrap/>
            <w:vAlign w:val="bottom"/>
            <w:hideMark/>
          </w:tcPr>
          <w:p w14:paraId="295FE443"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shd w:val="clear" w:color="000000" w:fill="000000"/>
            <w:noWrap/>
            <w:vAlign w:val="bottom"/>
            <w:hideMark/>
          </w:tcPr>
          <w:p w14:paraId="5EC4A90B"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shd w:val="clear" w:color="000000" w:fill="000000"/>
            <w:noWrap/>
            <w:vAlign w:val="bottom"/>
            <w:hideMark/>
          </w:tcPr>
          <w:p w14:paraId="3995E882"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shd w:val="clear" w:color="000000" w:fill="000000"/>
            <w:noWrap/>
            <w:vAlign w:val="bottom"/>
            <w:hideMark/>
          </w:tcPr>
          <w:p w14:paraId="47059114"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shd w:val="clear" w:color="000000" w:fill="000000"/>
            <w:noWrap/>
            <w:vAlign w:val="bottom"/>
            <w:hideMark/>
          </w:tcPr>
          <w:p w14:paraId="3B9B7B8A"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992" w:type="dxa"/>
            <w:tcBorders>
              <w:top w:val="nil"/>
              <w:left w:val="nil"/>
              <w:bottom w:val="single" w:sz="4" w:space="0" w:color="auto"/>
              <w:right w:val="single" w:sz="4" w:space="0" w:color="auto"/>
            </w:tcBorders>
            <w:shd w:val="clear" w:color="000000" w:fill="000000"/>
            <w:noWrap/>
            <w:vAlign w:val="bottom"/>
            <w:hideMark/>
          </w:tcPr>
          <w:p w14:paraId="56DF3DB7"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993" w:type="dxa"/>
            <w:tcBorders>
              <w:top w:val="nil"/>
              <w:left w:val="nil"/>
              <w:bottom w:val="single" w:sz="4" w:space="0" w:color="auto"/>
              <w:right w:val="single" w:sz="4" w:space="0" w:color="auto"/>
            </w:tcBorders>
            <w:shd w:val="clear" w:color="000000" w:fill="000000"/>
            <w:noWrap/>
            <w:vAlign w:val="bottom"/>
            <w:hideMark/>
          </w:tcPr>
          <w:p w14:paraId="4D4F747D"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r>
      <w:tr w:rsidR="004348B6" w:rsidRPr="00885754" w14:paraId="0998DE82" w14:textId="77777777" w:rsidTr="00F11C26">
        <w:trPr>
          <w:trHeight w:val="20"/>
        </w:trPr>
        <w:tc>
          <w:tcPr>
            <w:tcW w:w="782" w:type="dxa"/>
            <w:tcBorders>
              <w:top w:val="nil"/>
              <w:left w:val="single" w:sz="4" w:space="0" w:color="auto"/>
              <w:bottom w:val="single" w:sz="4" w:space="0" w:color="auto"/>
              <w:right w:val="single" w:sz="4" w:space="0" w:color="auto"/>
            </w:tcBorders>
            <w:noWrap/>
            <w:vAlign w:val="center"/>
            <w:hideMark/>
          </w:tcPr>
          <w:p w14:paraId="0F8B08B7"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3896" w:type="dxa"/>
            <w:tcBorders>
              <w:top w:val="nil"/>
              <w:left w:val="nil"/>
              <w:bottom w:val="single" w:sz="4" w:space="0" w:color="auto"/>
              <w:right w:val="single" w:sz="4" w:space="0" w:color="auto"/>
            </w:tcBorders>
            <w:vAlign w:val="center"/>
            <w:hideMark/>
          </w:tcPr>
          <w:p w14:paraId="63DA1657"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xml:space="preserve">SERVICIO DE MANTENIMIENTO PREVENTIVO A SISTEMA DE DETECCIÓN DE HUMO Y ALARMA CONTRA INCENDIOS MARCA HOCHIKI, CONTROLADO POR PANEL BOSCH MOD FPD7024, INCLUYE: LIMPIEZA, SOPLETEADO, REVISIÓN DE CONEXIONES ELÉCTRICAS, LIMPIEZA CON LIQUIDO DIELÉCTRICO Y DE LOS DIVERSOS MÓDULOS QUE COMPONEN EL SISTEMA DE MONITOREO, VERIFICACIÓN DE BATERÍAS, SUSTITUCIÓN DE COMPONENTES VISIBLES, INCLUYE: PRUEBAS, AJUSTES, MATERIALES DE CONSUMO, MANO DE OBRA Y TODO LO NECESARIO PARA SU CORRECTA EJECUCIÓN. </w:t>
            </w:r>
          </w:p>
        </w:tc>
        <w:tc>
          <w:tcPr>
            <w:tcW w:w="709" w:type="dxa"/>
            <w:tcBorders>
              <w:top w:val="nil"/>
              <w:left w:val="nil"/>
              <w:bottom w:val="single" w:sz="4" w:space="0" w:color="auto"/>
              <w:right w:val="single" w:sz="4" w:space="0" w:color="auto"/>
            </w:tcBorders>
            <w:noWrap/>
            <w:vAlign w:val="center"/>
            <w:hideMark/>
          </w:tcPr>
          <w:p w14:paraId="4097FAD8"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noWrap/>
            <w:vAlign w:val="center"/>
            <w:hideMark/>
          </w:tcPr>
          <w:p w14:paraId="217F183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vAlign w:val="center"/>
            <w:hideMark/>
          </w:tcPr>
          <w:p w14:paraId="23D1F25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vAlign w:val="center"/>
            <w:hideMark/>
          </w:tcPr>
          <w:p w14:paraId="4849E790"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vAlign w:val="center"/>
            <w:hideMark/>
          </w:tcPr>
          <w:p w14:paraId="56456CDB"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noWrap/>
            <w:vAlign w:val="center"/>
            <w:hideMark/>
          </w:tcPr>
          <w:p w14:paraId="406DFCD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noWrap/>
            <w:vAlign w:val="center"/>
            <w:hideMark/>
          </w:tcPr>
          <w:p w14:paraId="568920B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noWrap/>
            <w:vAlign w:val="center"/>
            <w:hideMark/>
          </w:tcPr>
          <w:p w14:paraId="65B9D6B0"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noWrap/>
            <w:vAlign w:val="center"/>
            <w:hideMark/>
          </w:tcPr>
          <w:p w14:paraId="256E0A9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741BBB69" w14:textId="77777777" w:rsidTr="00F11C26">
        <w:trPr>
          <w:trHeight w:val="20"/>
        </w:trPr>
        <w:tc>
          <w:tcPr>
            <w:tcW w:w="782" w:type="dxa"/>
            <w:tcBorders>
              <w:top w:val="nil"/>
              <w:left w:val="single" w:sz="4" w:space="0" w:color="auto"/>
              <w:bottom w:val="single" w:sz="4" w:space="0" w:color="auto"/>
              <w:right w:val="single" w:sz="4" w:space="0" w:color="auto"/>
            </w:tcBorders>
            <w:noWrap/>
            <w:vAlign w:val="center"/>
            <w:hideMark/>
          </w:tcPr>
          <w:p w14:paraId="489CD5A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2</w:t>
            </w:r>
          </w:p>
        </w:tc>
        <w:tc>
          <w:tcPr>
            <w:tcW w:w="3896" w:type="dxa"/>
            <w:tcBorders>
              <w:top w:val="nil"/>
              <w:left w:val="nil"/>
              <w:bottom w:val="single" w:sz="4" w:space="0" w:color="auto"/>
              <w:right w:val="single" w:sz="4" w:space="0" w:color="auto"/>
            </w:tcBorders>
            <w:vAlign w:val="center"/>
            <w:hideMark/>
          </w:tcPr>
          <w:p w14:paraId="43BE2D62"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xml:space="preserve">SERVICIO DE MANTENIMIENTO PREVENTIVO A SENSOR DE HUMO / CALOR 114 PIEZAS, INCLUYE: ETIQUETADO DE IDENTIFICACIÓN. LIMPIEZA, SOPLETEADO, REVISIÓN DE CONEXIONES ELÉCTRICAS, PRUEBAS, AJUSTES, CONFIGURACIÓN, PUESTA EN FUNCIONAMIENTO, </w:t>
            </w:r>
            <w:proofErr w:type="gramStart"/>
            <w:r w:rsidRPr="00885754">
              <w:rPr>
                <w:rFonts w:ascii="Arial Nova Light" w:hAnsi="Arial Nova Light" w:cs="Calibri"/>
                <w:color w:val="000000"/>
                <w:sz w:val="12"/>
                <w:szCs w:val="12"/>
                <w:lang w:eastAsia="es-MX"/>
              </w:rPr>
              <w:t>ESCALERA  PARA</w:t>
            </w:r>
            <w:proofErr w:type="gramEnd"/>
            <w:r w:rsidRPr="00885754">
              <w:rPr>
                <w:rFonts w:ascii="Arial Nova Light" w:hAnsi="Arial Nova Light" w:cs="Calibri"/>
                <w:color w:val="000000"/>
                <w:sz w:val="12"/>
                <w:szCs w:val="12"/>
                <w:lang w:eastAsia="es-MX"/>
              </w:rPr>
              <w:t xml:space="preserve"> TRABAJOS A UNA ALTURA APROXIMADA DE 3 METROS, MATERIALES DE CONSUMO, HERRAMIENTAS, MANO DE OBRA Y TODO LO NECESARIO PARA SU CORRECTA EJECUCIÓN.</w:t>
            </w:r>
          </w:p>
        </w:tc>
        <w:tc>
          <w:tcPr>
            <w:tcW w:w="709" w:type="dxa"/>
            <w:tcBorders>
              <w:top w:val="nil"/>
              <w:left w:val="nil"/>
              <w:bottom w:val="single" w:sz="4" w:space="0" w:color="auto"/>
              <w:right w:val="single" w:sz="4" w:space="0" w:color="auto"/>
            </w:tcBorders>
            <w:noWrap/>
            <w:vAlign w:val="center"/>
            <w:hideMark/>
          </w:tcPr>
          <w:p w14:paraId="71DFD2C7"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noWrap/>
            <w:vAlign w:val="center"/>
            <w:hideMark/>
          </w:tcPr>
          <w:p w14:paraId="32A615C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vAlign w:val="center"/>
            <w:hideMark/>
          </w:tcPr>
          <w:p w14:paraId="289D518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vAlign w:val="center"/>
            <w:hideMark/>
          </w:tcPr>
          <w:p w14:paraId="364D554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vAlign w:val="center"/>
            <w:hideMark/>
          </w:tcPr>
          <w:p w14:paraId="4FCE39B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noWrap/>
            <w:vAlign w:val="center"/>
            <w:hideMark/>
          </w:tcPr>
          <w:p w14:paraId="35894460"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noWrap/>
            <w:vAlign w:val="center"/>
            <w:hideMark/>
          </w:tcPr>
          <w:p w14:paraId="6E10EC5E"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noWrap/>
            <w:vAlign w:val="center"/>
            <w:hideMark/>
          </w:tcPr>
          <w:p w14:paraId="1A48B5A8"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noWrap/>
            <w:vAlign w:val="center"/>
            <w:hideMark/>
          </w:tcPr>
          <w:p w14:paraId="726DA9E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3530A107" w14:textId="77777777" w:rsidTr="00F11C26">
        <w:trPr>
          <w:trHeight w:val="20"/>
        </w:trPr>
        <w:tc>
          <w:tcPr>
            <w:tcW w:w="782" w:type="dxa"/>
            <w:tcBorders>
              <w:top w:val="nil"/>
              <w:left w:val="single" w:sz="4" w:space="0" w:color="auto"/>
              <w:bottom w:val="single" w:sz="4" w:space="0" w:color="auto"/>
              <w:right w:val="single" w:sz="4" w:space="0" w:color="auto"/>
            </w:tcBorders>
            <w:noWrap/>
            <w:vAlign w:val="center"/>
            <w:hideMark/>
          </w:tcPr>
          <w:p w14:paraId="66F1A9D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3</w:t>
            </w:r>
          </w:p>
        </w:tc>
        <w:tc>
          <w:tcPr>
            <w:tcW w:w="3896" w:type="dxa"/>
            <w:tcBorders>
              <w:top w:val="nil"/>
              <w:left w:val="nil"/>
              <w:bottom w:val="single" w:sz="4" w:space="0" w:color="auto"/>
              <w:right w:val="single" w:sz="4" w:space="0" w:color="auto"/>
            </w:tcBorders>
            <w:vAlign w:val="center"/>
            <w:hideMark/>
          </w:tcPr>
          <w:p w14:paraId="600DC9AA"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MANTENIMIENTO PREVENTIVO A ESTACIÓN DE JALÓN (PALANCA DE EMERGENCIA), INCLUYE: LIMPIEZA, SOPLETEADO, REVISIÓN DE CONEXIONES ELÉCTRICAS, PRUEBAS, AJUSTES, CONFIGURACIÓN, PUESTA EN FUNCIONAMIENTO, MATERIALES DE CONSUMO, HERRAMIENTA MANO DE OBRA Y TODO LO NECESARIO PARA SU CORRECTA EJECUCIÓN.</w:t>
            </w:r>
          </w:p>
        </w:tc>
        <w:tc>
          <w:tcPr>
            <w:tcW w:w="709" w:type="dxa"/>
            <w:tcBorders>
              <w:top w:val="nil"/>
              <w:left w:val="nil"/>
              <w:bottom w:val="single" w:sz="4" w:space="0" w:color="auto"/>
              <w:right w:val="single" w:sz="4" w:space="0" w:color="auto"/>
            </w:tcBorders>
            <w:noWrap/>
            <w:vAlign w:val="center"/>
            <w:hideMark/>
          </w:tcPr>
          <w:p w14:paraId="0BFE64D0"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noWrap/>
            <w:vAlign w:val="center"/>
            <w:hideMark/>
          </w:tcPr>
          <w:p w14:paraId="396E422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vAlign w:val="center"/>
            <w:hideMark/>
          </w:tcPr>
          <w:p w14:paraId="55ED7E2E"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vAlign w:val="center"/>
            <w:hideMark/>
          </w:tcPr>
          <w:p w14:paraId="130E8FA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vAlign w:val="center"/>
            <w:hideMark/>
          </w:tcPr>
          <w:p w14:paraId="30A953C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noWrap/>
            <w:vAlign w:val="center"/>
            <w:hideMark/>
          </w:tcPr>
          <w:p w14:paraId="6AFEF06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noWrap/>
            <w:vAlign w:val="center"/>
            <w:hideMark/>
          </w:tcPr>
          <w:p w14:paraId="5159585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noWrap/>
            <w:vAlign w:val="center"/>
            <w:hideMark/>
          </w:tcPr>
          <w:p w14:paraId="6B9FC36C"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noWrap/>
            <w:vAlign w:val="center"/>
            <w:hideMark/>
          </w:tcPr>
          <w:p w14:paraId="6B18E5B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5918FC4C" w14:textId="77777777" w:rsidTr="00F11C26">
        <w:trPr>
          <w:trHeight w:val="20"/>
        </w:trPr>
        <w:tc>
          <w:tcPr>
            <w:tcW w:w="782" w:type="dxa"/>
            <w:tcBorders>
              <w:top w:val="nil"/>
              <w:left w:val="single" w:sz="4" w:space="0" w:color="auto"/>
              <w:bottom w:val="single" w:sz="4" w:space="0" w:color="auto"/>
              <w:right w:val="single" w:sz="4" w:space="0" w:color="auto"/>
            </w:tcBorders>
            <w:noWrap/>
            <w:vAlign w:val="center"/>
            <w:hideMark/>
          </w:tcPr>
          <w:p w14:paraId="259E486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4</w:t>
            </w:r>
          </w:p>
        </w:tc>
        <w:tc>
          <w:tcPr>
            <w:tcW w:w="3896" w:type="dxa"/>
            <w:tcBorders>
              <w:top w:val="nil"/>
              <w:left w:val="nil"/>
              <w:bottom w:val="single" w:sz="4" w:space="0" w:color="auto"/>
              <w:right w:val="single" w:sz="4" w:space="0" w:color="auto"/>
            </w:tcBorders>
            <w:vAlign w:val="center"/>
            <w:hideMark/>
          </w:tcPr>
          <w:p w14:paraId="444CA6D5"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MANTENIMIENTO PREVENTIVO A SIRENA ESTROBO. INCLUYE: LIMPIEZA, SOPLETEADO, REVISIÓN DE CONEXIONES ELÉCTRICAS, LIMPIEZA CON LIQUIDO DIELÉCTRICO, PRUEBAS, AJUSTES, CONFIGURACIÓN, PUESTA EN FUNCIONAMIENTO, MATERIALES DE CONSUMO, HERRAMIENTA MANO DE OBRA Y TODO LO NECESARIO PARA SU CORRECTA EJECUCIÓN.</w:t>
            </w:r>
          </w:p>
        </w:tc>
        <w:tc>
          <w:tcPr>
            <w:tcW w:w="709" w:type="dxa"/>
            <w:tcBorders>
              <w:top w:val="nil"/>
              <w:left w:val="nil"/>
              <w:bottom w:val="single" w:sz="4" w:space="0" w:color="auto"/>
              <w:right w:val="single" w:sz="4" w:space="0" w:color="auto"/>
            </w:tcBorders>
            <w:noWrap/>
            <w:vAlign w:val="center"/>
            <w:hideMark/>
          </w:tcPr>
          <w:p w14:paraId="4BA9062E"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noWrap/>
            <w:vAlign w:val="center"/>
            <w:hideMark/>
          </w:tcPr>
          <w:p w14:paraId="2E5EF38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vAlign w:val="center"/>
            <w:hideMark/>
          </w:tcPr>
          <w:p w14:paraId="0BB102D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vAlign w:val="center"/>
            <w:hideMark/>
          </w:tcPr>
          <w:p w14:paraId="20C7D86A"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vAlign w:val="center"/>
            <w:hideMark/>
          </w:tcPr>
          <w:p w14:paraId="2DC6253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noWrap/>
            <w:vAlign w:val="center"/>
            <w:hideMark/>
          </w:tcPr>
          <w:p w14:paraId="258E662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noWrap/>
            <w:vAlign w:val="center"/>
            <w:hideMark/>
          </w:tcPr>
          <w:p w14:paraId="62F0CDD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noWrap/>
            <w:vAlign w:val="center"/>
            <w:hideMark/>
          </w:tcPr>
          <w:p w14:paraId="4B15806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noWrap/>
            <w:vAlign w:val="center"/>
            <w:hideMark/>
          </w:tcPr>
          <w:p w14:paraId="12EAE9D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44DFB751" w14:textId="77777777" w:rsidTr="00F11C26">
        <w:trPr>
          <w:trHeight w:val="20"/>
        </w:trPr>
        <w:tc>
          <w:tcPr>
            <w:tcW w:w="6091" w:type="dxa"/>
            <w:gridSpan w:val="4"/>
            <w:tcBorders>
              <w:top w:val="single" w:sz="4" w:space="0" w:color="auto"/>
              <w:left w:val="single" w:sz="4" w:space="0" w:color="auto"/>
              <w:bottom w:val="single" w:sz="4" w:space="0" w:color="auto"/>
              <w:right w:val="single" w:sz="4" w:space="0" w:color="auto"/>
            </w:tcBorders>
            <w:shd w:val="clear" w:color="FFC000" w:fill="FFCCFF"/>
            <w:vAlign w:val="center"/>
            <w:hideMark/>
          </w:tcPr>
          <w:p w14:paraId="2E93D5BD"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Sistema VS Incendio</w:t>
            </w:r>
          </w:p>
        </w:tc>
        <w:tc>
          <w:tcPr>
            <w:tcW w:w="572" w:type="dxa"/>
            <w:tcBorders>
              <w:top w:val="nil"/>
              <w:left w:val="nil"/>
              <w:bottom w:val="single" w:sz="4" w:space="0" w:color="auto"/>
              <w:right w:val="single" w:sz="4" w:space="0" w:color="auto"/>
            </w:tcBorders>
            <w:shd w:val="clear" w:color="000000" w:fill="000000"/>
            <w:noWrap/>
            <w:vAlign w:val="bottom"/>
            <w:hideMark/>
          </w:tcPr>
          <w:p w14:paraId="787B7D3D"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shd w:val="clear" w:color="000000" w:fill="000000"/>
            <w:noWrap/>
            <w:vAlign w:val="bottom"/>
            <w:hideMark/>
          </w:tcPr>
          <w:p w14:paraId="3480753D"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shd w:val="clear" w:color="000000" w:fill="000000"/>
            <w:noWrap/>
            <w:vAlign w:val="bottom"/>
            <w:hideMark/>
          </w:tcPr>
          <w:p w14:paraId="3F1E642D"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shd w:val="clear" w:color="000000" w:fill="000000"/>
            <w:noWrap/>
            <w:vAlign w:val="bottom"/>
            <w:hideMark/>
          </w:tcPr>
          <w:p w14:paraId="0BF5E2F9"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shd w:val="clear" w:color="000000" w:fill="000000"/>
            <w:noWrap/>
            <w:vAlign w:val="bottom"/>
            <w:hideMark/>
          </w:tcPr>
          <w:p w14:paraId="73112F03"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992" w:type="dxa"/>
            <w:tcBorders>
              <w:top w:val="nil"/>
              <w:left w:val="nil"/>
              <w:bottom w:val="single" w:sz="4" w:space="0" w:color="auto"/>
              <w:right w:val="single" w:sz="4" w:space="0" w:color="auto"/>
            </w:tcBorders>
            <w:shd w:val="clear" w:color="000000" w:fill="000000"/>
            <w:noWrap/>
            <w:vAlign w:val="bottom"/>
            <w:hideMark/>
          </w:tcPr>
          <w:p w14:paraId="75458E02"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993" w:type="dxa"/>
            <w:tcBorders>
              <w:top w:val="nil"/>
              <w:left w:val="nil"/>
              <w:bottom w:val="single" w:sz="4" w:space="0" w:color="auto"/>
              <w:right w:val="single" w:sz="4" w:space="0" w:color="auto"/>
            </w:tcBorders>
            <w:shd w:val="clear" w:color="000000" w:fill="000000"/>
            <w:noWrap/>
            <w:vAlign w:val="bottom"/>
            <w:hideMark/>
          </w:tcPr>
          <w:p w14:paraId="0865CFC0"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r>
      <w:tr w:rsidR="004348B6" w:rsidRPr="00885754" w14:paraId="74A7C18F" w14:textId="77777777" w:rsidTr="00F11C26">
        <w:trPr>
          <w:trHeight w:val="20"/>
        </w:trPr>
        <w:tc>
          <w:tcPr>
            <w:tcW w:w="782" w:type="dxa"/>
            <w:tcBorders>
              <w:top w:val="single" w:sz="4" w:space="0" w:color="auto"/>
              <w:left w:val="single" w:sz="4" w:space="0" w:color="auto"/>
              <w:bottom w:val="single" w:sz="4" w:space="0" w:color="auto"/>
              <w:right w:val="single" w:sz="4" w:space="0" w:color="auto"/>
            </w:tcBorders>
            <w:noWrap/>
            <w:vAlign w:val="center"/>
            <w:hideMark/>
          </w:tcPr>
          <w:p w14:paraId="55886B9A"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5</w:t>
            </w:r>
          </w:p>
        </w:tc>
        <w:tc>
          <w:tcPr>
            <w:tcW w:w="3896" w:type="dxa"/>
            <w:tcBorders>
              <w:top w:val="single" w:sz="4" w:space="0" w:color="auto"/>
              <w:left w:val="nil"/>
              <w:bottom w:val="single" w:sz="4" w:space="0" w:color="auto"/>
              <w:right w:val="single" w:sz="4" w:space="0" w:color="auto"/>
            </w:tcBorders>
            <w:vAlign w:val="center"/>
            <w:hideMark/>
          </w:tcPr>
          <w:p w14:paraId="6D94D03B"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xml:space="preserve">SERVICIO DE MANTENIMIENTO PREVENTIVO A SISTEMA VS INCENDIO EQUIPO MARCA AKSA MODELO APD165-C DATO DE PRODUCTO 2022 SERIAL 82441911, 150 KVA PRIME A 393.765 STANDBY A, MODELO DE ALTERNADOR AK4100, SERIAL DEL ALTERNADOR, AK22040430-A, DIMISIONES DE LARGO 3417 MM, ANCHO DE 1136 MM, ALTURA DE 2022 MM, 220/127 VOLTS, 60 HZ, 3 FASES, CAPACIDAD DEL TANQUE DE 340 LITROS DE DIÉSEL, INCLUYE: CAMBIO DE FILTROS, REVISIÓN DE ACCESORIOS DEL MOTOR, TABLERO DE CONTROL, CABLEADO DEL SISTEMA, SISTEMA DE ENFRIAMIENTO, REVISIÓN DE BATERÍA, LIMPIEZA DE TANQUE DE COMBUSTIBLE Y LÍNEAS DE ALIMENTACIÓN AL MOTOR, </w:t>
            </w:r>
            <w:r w:rsidRPr="00885754">
              <w:rPr>
                <w:rFonts w:ascii="Arial Nova Light" w:hAnsi="Arial Nova Light" w:cs="Calibri"/>
                <w:color w:val="000000"/>
                <w:sz w:val="12"/>
                <w:szCs w:val="12"/>
                <w:lang w:eastAsia="es-MX"/>
              </w:rPr>
              <w:lastRenderedPageBreak/>
              <w:t>MANTENIMIENTO AL SISTEMA DE BOMBEO A BASE DE MOTOR ELÉCTRICO PRINCIPAL Y BOMBA JOCKEY, ENGRASADO DE RODAMIENTOS, EMPAQUETADORAS, LUBRICACIÓN DE COMPONENTES, MANO DE OBRA, MATERIALES DE CONSUMO, HERRAMIENTAS, PRUEBAS, AJUSTES, ARRANQUE Y TODO LO NECESARIO PARA SU CORRECTA EJECUCIÓN.</w:t>
            </w:r>
          </w:p>
        </w:tc>
        <w:tc>
          <w:tcPr>
            <w:tcW w:w="709" w:type="dxa"/>
            <w:tcBorders>
              <w:top w:val="single" w:sz="4" w:space="0" w:color="auto"/>
              <w:left w:val="nil"/>
              <w:bottom w:val="single" w:sz="4" w:space="0" w:color="auto"/>
              <w:right w:val="single" w:sz="4" w:space="0" w:color="auto"/>
            </w:tcBorders>
            <w:noWrap/>
            <w:vAlign w:val="center"/>
            <w:hideMark/>
          </w:tcPr>
          <w:p w14:paraId="010546B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lastRenderedPageBreak/>
              <w:t>Servicio</w:t>
            </w:r>
          </w:p>
        </w:tc>
        <w:tc>
          <w:tcPr>
            <w:tcW w:w="704" w:type="dxa"/>
            <w:tcBorders>
              <w:top w:val="single" w:sz="4" w:space="0" w:color="auto"/>
              <w:left w:val="nil"/>
              <w:bottom w:val="single" w:sz="4" w:space="0" w:color="auto"/>
              <w:right w:val="single" w:sz="4" w:space="0" w:color="auto"/>
            </w:tcBorders>
            <w:noWrap/>
            <w:vAlign w:val="center"/>
            <w:hideMark/>
          </w:tcPr>
          <w:p w14:paraId="4277C2A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single" w:sz="4" w:space="0" w:color="auto"/>
              <w:left w:val="nil"/>
              <w:bottom w:val="single" w:sz="4" w:space="0" w:color="auto"/>
              <w:right w:val="single" w:sz="4" w:space="0" w:color="auto"/>
            </w:tcBorders>
            <w:vAlign w:val="center"/>
            <w:hideMark/>
          </w:tcPr>
          <w:p w14:paraId="0773ACDC"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single" w:sz="4" w:space="0" w:color="auto"/>
              <w:left w:val="nil"/>
              <w:bottom w:val="single" w:sz="4" w:space="0" w:color="auto"/>
              <w:right w:val="single" w:sz="4" w:space="0" w:color="auto"/>
            </w:tcBorders>
            <w:vAlign w:val="center"/>
            <w:hideMark/>
          </w:tcPr>
          <w:p w14:paraId="7BBB1C3B"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single" w:sz="4" w:space="0" w:color="auto"/>
              <w:left w:val="nil"/>
              <w:bottom w:val="single" w:sz="4" w:space="0" w:color="auto"/>
              <w:right w:val="single" w:sz="4" w:space="0" w:color="auto"/>
            </w:tcBorders>
            <w:vAlign w:val="center"/>
            <w:hideMark/>
          </w:tcPr>
          <w:p w14:paraId="5436F8F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single" w:sz="4" w:space="0" w:color="auto"/>
              <w:left w:val="nil"/>
              <w:bottom w:val="single" w:sz="4" w:space="0" w:color="auto"/>
              <w:right w:val="single" w:sz="4" w:space="0" w:color="auto"/>
            </w:tcBorders>
            <w:noWrap/>
            <w:vAlign w:val="center"/>
            <w:hideMark/>
          </w:tcPr>
          <w:p w14:paraId="5BFB285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single" w:sz="4" w:space="0" w:color="auto"/>
              <w:left w:val="nil"/>
              <w:bottom w:val="single" w:sz="4" w:space="0" w:color="auto"/>
              <w:right w:val="single" w:sz="4" w:space="0" w:color="auto"/>
            </w:tcBorders>
            <w:noWrap/>
            <w:vAlign w:val="center"/>
            <w:hideMark/>
          </w:tcPr>
          <w:p w14:paraId="4D46E240"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single" w:sz="4" w:space="0" w:color="auto"/>
              <w:left w:val="nil"/>
              <w:bottom w:val="single" w:sz="4" w:space="0" w:color="auto"/>
              <w:right w:val="single" w:sz="4" w:space="0" w:color="auto"/>
            </w:tcBorders>
            <w:noWrap/>
            <w:vAlign w:val="center"/>
            <w:hideMark/>
          </w:tcPr>
          <w:p w14:paraId="336292E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single" w:sz="4" w:space="0" w:color="auto"/>
              <w:left w:val="nil"/>
              <w:bottom w:val="single" w:sz="4" w:space="0" w:color="auto"/>
              <w:right w:val="single" w:sz="4" w:space="0" w:color="auto"/>
            </w:tcBorders>
            <w:noWrap/>
            <w:vAlign w:val="center"/>
            <w:hideMark/>
          </w:tcPr>
          <w:p w14:paraId="67A9B59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73CD9A56" w14:textId="77777777" w:rsidTr="00F11C26">
        <w:trPr>
          <w:trHeight w:val="20"/>
        </w:trPr>
        <w:tc>
          <w:tcPr>
            <w:tcW w:w="782" w:type="dxa"/>
            <w:tcBorders>
              <w:top w:val="single" w:sz="4" w:space="0" w:color="auto"/>
              <w:left w:val="single" w:sz="4" w:space="0" w:color="auto"/>
              <w:bottom w:val="single" w:sz="4" w:space="0" w:color="auto"/>
              <w:right w:val="single" w:sz="4" w:space="0" w:color="auto"/>
            </w:tcBorders>
            <w:noWrap/>
            <w:vAlign w:val="center"/>
            <w:hideMark/>
          </w:tcPr>
          <w:p w14:paraId="62B9802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6</w:t>
            </w:r>
          </w:p>
        </w:tc>
        <w:tc>
          <w:tcPr>
            <w:tcW w:w="3896" w:type="dxa"/>
            <w:tcBorders>
              <w:top w:val="single" w:sz="4" w:space="0" w:color="auto"/>
              <w:left w:val="nil"/>
              <w:bottom w:val="single" w:sz="4" w:space="0" w:color="auto"/>
              <w:right w:val="single" w:sz="4" w:space="0" w:color="auto"/>
            </w:tcBorders>
            <w:vAlign w:val="center"/>
            <w:hideMark/>
          </w:tcPr>
          <w:p w14:paraId="01759BDB"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MANTENIMIENTO PREVENTIVO A PANEL DE CONTROL PARA BOMBA CENTRÍFUGA CON MOTOR ELÉCTRICO MODELO FPS-IA2EXH-4TNV88/IA2EH-40-2/1B MERCA BARNES. INCLUYE: PROGRAMACIÓN, LIMPIEZA Y SOPLETEADO DEL PANEL DE CONTROL, REAPRIETE DE CONEXIONES ELÉCTRICAS, REVISIÓN DE COMPONENTES, COMPROBACIÓN DE FUNCIONAMIENTO, PRUEBAS, AJUSTES, CONFIGURACIÓN, PUESTA EN FUNCIONAMIENTO, MATERIALES DE CONSUMO, HERRAMIENTA, MANO DE OBRA Y TODO LO NECESARIO PARA SU CORRECTA EJECUCIÓN.</w:t>
            </w:r>
          </w:p>
        </w:tc>
        <w:tc>
          <w:tcPr>
            <w:tcW w:w="709" w:type="dxa"/>
            <w:tcBorders>
              <w:top w:val="single" w:sz="4" w:space="0" w:color="auto"/>
              <w:left w:val="nil"/>
              <w:bottom w:val="single" w:sz="4" w:space="0" w:color="auto"/>
              <w:right w:val="single" w:sz="4" w:space="0" w:color="auto"/>
            </w:tcBorders>
            <w:noWrap/>
            <w:vAlign w:val="center"/>
            <w:hideMark/>
          </w:tcPr>
          <w:p w14:paraId="17E8CB9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single" w:sz="4" w:space="0" w:color="auto"/>
              <w:left w:val="nil"/>
              <w:bottom w:val="single" w:sz="4" w:space="0" w:color="auto"/>
              <w:right w:val="single" w:sz="4" w:space="0" w:color="auto"/>
            </w:tcBorders>
            <w:noWrap/>
            <w:vAlign w:val="center"/>
            <w:hideMark/>
          </w:tcPr>
          <w:p w14:paraId="58D65D8E"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single" w:sz="4" w:space="0" w:color="auto"/>
              <w:left w:val="nil"/>
              <w:bottom w:val="single" w:sz="4" w:space="0" w:color="auto"/>
              <w:right w:val="single" w:sz="4" w:space="0" w:color="auto"/>
            </w:tcBorders>
            <w:vAlign w:val="center"/>
            <w:hideMark/>
          </w:tcPr>
          <w:p w14:paraId="32CFFACC"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single" w:sz="4" w:space="0" w:color="auto"/>
              <w:left w:val="nil"/>
              <w:bottom w:val="single" w:sz="4" w:space="0" w:color="auto"/>
              <w:right w:val="single" w:sz="4" w:space="0" w:color="auto"/>
            </w:tcBorders>
            <w:vAlign w:val="center"/>
            <w:hideMark/>
          </w:tcPr>
          <w:p w14:paraId="6FD53CF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single" w:sz="4" w:space="0" w:color="auto"/>
              <w:left w:val="nil"/>
              <w:bottom w:val="single" w:sz="4" w:space="0" w:color="auto"/>
              <w:right w:val="single" w:sz="4" w:space="0" w:color="auto"/>
            </w:tcBorders>
            <w:vAlign w:val="center"/>
            <w:hideMark/>
          </w:tcPr>
          <w:p w14:paraId="629106A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single" w:sz="4" w:space="0" w:color="auto"/>
              <w:left w:val="nil"/>
              <w:bottom w:val="single" w:sz="4" w:space="0" w:color="auto"/>
              <w:right w:val="single" w:sz="4" w:space="0" w:color="auto"/>
            </w:tcBorders>
            <w:noWrap/>
            <w:vAlign w:val="center"/>
            <w:hideMark/>
          </w:tcPr>
          <w:p w14:paraId="70B8372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single" w:sz="4" w:space="0" w:color="auto"/>
              <w:left w:val="nil"/>
              <w:bottom w:val="single" w:sz="4" w:space="0" w:color="auto"/>
              <w:right w:val="single" w:sz="4" w:space="0" w:color="auto"/>
            </w:tcBorders>
            <w:noWrap/>
            <w:vAlign w:val="center"/>
            <w:hideMark/>
          </w:tcPr>
          <w:p w14:paraId="6629169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single" w:sz="4" w:space="0" w:color="auto"/>
              <w:left w:val="nil"/>
              <w:bottom w:val="single" w:sz="4" w:space="0" w:color="auto"/>
              <w:right w:val="single" w:sz="4" w:space="0" w:color="auto"/>
            </w:tcBorders>
            <w:noWrap/>
            <w:vAlign w:val="center"/>
            <w:hideMark/>
          </w:tcPr>
          <w:p w14:paraId="5154212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single" w:sz="4" w:space="0" w:color="auto"/>
              <w:left w:val="nil"/>
              <w:bottom w:val="single" w:sz="4" w:space="0" w:color="auto"/>
              <w:right w:val="single" w:sz="4" w:space="0" w:color="auto"/>
            </w:tcBorders>
            <w:noWrap/>
            <w:vAlign w:val="center"/>
            <w:hideMark/>
          </w:tcPr>
          <w:p w14:paraId="2389AD6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7EDBA174" w14:textId="77777777" w:rsidTr="00F11C26">
        <w:trPr>
          <w:trHeight w:val="20"/>
        </w:trPr>
        <w:tc>
          <w:tcPr>
            <w:tcW w:w="782" w:type="dxa"/>
            <w:tcBorders>
              <w:top w:val="nil"/>
              <w:left w:val="single" w:sz="4" w:space="0" w:color="auto"/>
              <w:bottom w:val="single" w:sz="4" w:space="0" w:color="auto"/>
              <w:right w:val="single" w:sz="4" w:space="0" w:color="auto"/>
            </w:tcBorders>
            <w:noWrap/>
            <w:vAlign w:val="center"/>
            <w:hideMark/>
          </w:tcPr>
          <w:p w14:paraId="31A6BA3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7</w:t>
            </w:r>
          </w:p>
        </w:tc>
        <w:tc>
          <w:tcPr>
            <w:tcW w:w="3896" w:type="dxa"/>
            <w:tcBorders>
              <w:top w:val="nil"/>
              <w:left w:val="nil"/>
              <w:bottom w:val="single" w:sz="4" w:space="0" w:color="auto"/>
              <w:right w:val="single" w:sz="4" w:space="0" w:color="auto"/>
            </w:tcBorders>
            <w:vAlign w:val="center"/>
            <w:hideMark/>
          </w:tcPr>
          <w:p w14:paraId="6443D708"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MANTENIMIENTO PREVENTIVO A BOMBA CENTRIFUGA MODELO YE3-90L-2 3470 RPM 2200W 230/460 V 60 HZ 19.7 KG NUMERO DE SERIE ZL2204200002 IEC60034-1. INCLUYE: DESCONEXIÓN Y RECONEXIÓN ELÉCTRICA Y MECÁNICA, LIMPIEZA, SOPLETEADO, REVISIÓN Y</w:t>
            </w:r>
            <w:r w:rsidRPr="00885754">
              <w:rPr>
                <w:rFonts w:ascii="Arial Nova Light" w:hAnsi="Arial Nova Light" w:cs="Calibri"/>
                <w:color w:val="000000"/>
                <w:sz w:val="12"/>
                <w:szCs w:val="12"/>
                <w:lang w:eastAsia="es-MX"/>
              </w:rPr>
              <w:br/>
              <w:t>LUBRICACIÓN DE RODAMIENTOS, CAMBIO DE SELLO MECÁNICO, CAMBIO DE VÁLVULA CHECK Y PICHANCHA DE BRONCE DE HASTA 3" DE DIÁMETRO, DESMONTAJE Y MONTAJE DE LÍNEA DE SUCCIÓN PARA REEMPLAZO DE PICHANCHA Y VÁLVULA CHECK POR FIN DE VIDA ÚTIL, REVISIÓN, AJUSTES, REAPRIETE DE CONEXIONES ELÉCTRICAS Y DE CONTROL, REVISIÓN DE AMPERAJE Y VOLTAJE, PRUEBAS, AJUSTES, PUESTA EN FUNCIONAMIENTO, MATERIALES DE CONSUMO, HERRAMIENTA MANO DE OBRA Y TODO LO NECESARIO PARA SU CORRECTA EJECUCIÓN.</w:t>
            </w:r>
          </w:p>
        </w:tc>
        <w:tc>
          <w:tcPr>
            <w:tcW w:w="709" w:type="dxa"/>
            <w:tcBorders>
              <w:top w:val="nil"/>
              <w:left w:val="nil"/>
              <w:bottom w:val="single" w:sz="4" w:space="0" w:color="auto"/>
              <w:right w:val="single" w:sz="4" w:space="0" w:color="auto"/>
            </w:tcBorders>
            <w:noWrap/>
            <w:vAlign w:val="center"/>
            <w:hideMark/>
          </w:tcPr>
          <w:p w14:paraId="199D271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noWrap/>
            <w:vAlign w:val="center"/>
            <w:hideMark/>
          </w:tcPr>
          <w:p w14:paraId="3CF0BD3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vAlign w:val="center"/>
            <w:hideMark/>
          </w:tcPr>
          <w:p w14:paraId="7A980BD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vAlign w:val="center"/>
            <w:hideMark/>
          </w:tcPr>
          <w:p w14:paraId="360A688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vAlign w:val="center"/>
            <w:hideMark/>
          </w:tcPr>
          <w:p w14:paraId="4858086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noWrap/>
            <w:vAlign w:val="center"/>
            <w:hideMark/>
          </w:tcPr>
          <w:p w14:paraId="74468A8A"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noWrap/>
            <w:vAlign w:val="center"/>
            <w:hideMark/>
          </w:tcPr>
          <w:p w14:paraId="513DC26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noWrap/>
            <w:vAlign w:val="center"/>
            <w:hideMark/>
          </w:tcPr>
          <w:p w14:paraId="49579D0B"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noWrap/>
            <w:vAlign w:val="center"/>
            <w:hideMark/>
          </w:tcPr>
          <w:p w14:paraId="41308E9B"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1AA20A5F" w14:textId="77777777" w:rsidTr="00F11C26">
        <w:trPr>
          <w:trHeight w:val="20"/>
        </w:trPr>
        <w:tc>
          <w:tcPr>
            <w:tcW w:w="782" w:type="dxa"/>
            <w:tcBorders>
              <w:top w:val="nil"/>
              <w:left w:val="single" w:sz="4" w:space="0" w:color="auto"/>
              <w:bottom w:val="single" w:sz="4" w:space="0" w:color="auto"/>
              <w:right w:val="single" w:sz="4" w:space="0" w:color="auto"/>
            </w:tcBorders>
            <w:noWrap/>
            <w:vAlign w:val="center"/>
            <w:hideMark/>
          </w:tcPr>
          <w:p w14:paraId="4ACDD47A"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8</w:t>
            </w:r>
          </w:p>
        </w:tc>
        <w:tc>
          <w:tcPr>
            <w:tcW w:w="3896" w:type="dxa"/>
            <w:tcBorders>
              <w:top w:val="nil"/>
              <w:left w:val="nil"/>
              <w:bottom w:val="single" w:sz="4" w:space="0" w:color="auto"/>
              <w:right w:val="single" w:sz="4" w:space="0" w:color="auto"/>
            </w:tcBorders>
            <w:vAlign w:val="center"/>
            <w:hideMark/>
          </w:tcPr>
          <w:p w14:paraId="555D378B"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MANTENIMIENTO PREVENTIVO A BOMBA CENTRIFUGA MODELO BMVF2-110-303 3HP, 3500 RPM NUMERO DE SERIE N2203240149-026 MARCA BARMESA PUMPS. INCLUYE: DESCONEXIÓN Y RECONEXIÓN ELÉCTRICA Y MECÁNICA, LIMPIEZA, SOPLETEADO, REVISIÓN Y LUBRICACIÓN DE RODAMIENTOS, CAMBIO DE SELLO MECÁNICO, AFINACIÓN MAYOR, CAMBIO DE ACEITE, CAMBIO DE FILTRO DE AIRE, CAMBIO DE FILTRO DE ACEITE MARCA GONHER MODELO GP-149, CAMBIO DE BATERÍA DE 12V BCI 24 MODELO G-24 MARCA GONHER, CAMBIO DE VÁLVULA CHECK Y PICHANCHA DE BRONCE DE HASTA 3" DE DIÁMETRO, DESMONTAJE Y MONTAJE DE LÍNEA DE SUCCIÓN PARA REEMPLAZO DE PICHANCHA Y VÁLVULA CHECK POR FIN DE VIDA ÚTIL, REVISIÓN, AJUSTE Y REAPRIETE DE CONEXIONES ELÉCTRICAS Y DE CONTROL, REVISIÓN DE AMPERAJE Y VOLTAJE EN BATERÍA, PRUEBAS, AJUSTES, PUESTA EN FUNCIONAMIENTO, MATERIALES DE CONSUMO, HERRAMIENTA, MANO DE OBRA Y TODO LO NECESARIO PARA SU CORRECTA EJECUCIÓN.</w:t>
            </w:r>
          </w:p>
        </w:tc>
        <w:tc>
          <w:tcPr>
            <w:tcW w:w="709" w:type="dxa"/>
            <w:tcBorders>
              <w:top w:val="nil"/>
              <w:left w:val="nil"/>
              <w:bottom w:val="single" w:sz="4" w:space="0" w:color="auto"/>
              <w:right w:val="single" w:sz="4" w:space="0" w:color="auto"/>
            </w:tcBorders>
            <w:noWrap/>
            <w:vAlign w:val="center"/>
            <w:hideMark/>
          </w:tcPr>
          <w:p w14:paraId="7428A68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noWrap/>
            <w:vAlign w:val="center"/>
            <w:hideMark/>
          </w:tcPr>
          <w:p w14:paraId="568ABEB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vAlign w:val="center"/>
            <w:hideMark/>
          </w:tcPr>
          <w:p w14:paraId="23C2B18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vAlign w:val="center"/>
            <w:hideMark/>
          </w:tcPr>
          <w:p w14:paraId="7F2102A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vAlign w:val="center"/>
            <w:hideMark/>
          </w:tcPr>
          <w:p w14:paraId="306F712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noWrap/>
            <w:vAlign w:val="center"/>
            <w:hideMark/>
          </w:tcPr>
          <w:p w14:paraId="3E54865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noWrap/>
            <w:vAlign w:val="center"/>
            <w:hideMark/>
          </w:tcPr>
          <w:p w14:paraId="4BB3632B"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noWrap/>
            <w:vAlign w:val="center"/>
            <w:hideMark/>
          </w:tcPr>
          <w:p w14:paraId="3BF04A1A"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noWrap/>
            <w:vAlign w:val="center"/>
            <w:hideMark/>
          </w:tcPr>
          <w:p w14:paraId="0C57AD5A"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1D3B81D3" w14:textId="77777777" w:rsidTr="00F11C26">
        <w:trPr>
          <w:trHeight w:val="20"/>
        </w:trPr>
        <w:tc>
          <w:tcPr>
            <w:tcW w:w="782" w:type="dxa"/>
            <w:tcBorders>
              <w:top w:val="nil"/>
              <w:left w:val="single" w:sz="4" w:space="0" w:color="auto"/>
              <w:bottom w:val="single" w:sz="4" w:space="0" w:color="auto"/>
              <w:right w:val="single" w:sz="4" w:space="0" w:color="auto"/>
            </w:tcBorders>
            <w:noWrap/>
            <w:vAlign w:val="center"/>
            <w:hideMark/>
          </w:tcPr>
          <w:p w14:paraId="5574AC9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9</w:t>
            </w:r>
          </w:p>
        </w:tc>
        <w:tc>
          <w:tcPr>
            <w:tcW w:w="3896" w:type="dxa"/>
            <w:tcBorders>
              <w:top w:val="nil"/>
              <w:left w:val="nil"/>
              <w:bottom w:val="single" w:sz="4" w:space="0" w:color="auto"/>
              <w:right w:val="single" w:sz="4" w:space="0" w:color="auto"/>
            </w:tcBorders>
            <w:vAlign w:val="center"/>
            <w:hideMark/>
          </w:tcPr>
          <w:p w14:paraId="780DDAAB"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LIMPIEZA DE TANQUE DE COMBUSTIBLE DE 341 LITROS MARCA BOMBAS MEJORADA, INCLUYE: REVISIÓN DE HERMETISMO, LLENADO CON DIESEL SIN PLOMO PARA PRUEBAS, MATERIALES DE CONSUMO, HERRAMIENTA, MANO DE OBRA Y TODO LO NECESARIO PARA SU CORRECTA EJECUCIÓN.</w:t>
            </w:r>
          </w:p>
        </w:tc>
        <w:tc>
          <w:tcPr>
            <w:tcW w:w="709" w:type="dxa"/>
            <w:tcBorders>
              <w:top w:val="nil"/>
              <w:left w:val="nil"/>
              <w:bottom w:val="single" w:sz="4" w:space="0" w:color="auto"/>
              <w:right w:val="single" w:sz="4" w:space="0" w:color="auto"/>
            </w:tcBorders>
            <w:noWrap/>
            <w:vAlign w:val="center"/>
            <w:hideMark/>
          </w:tcPr>
          <w:p w14:paraId="468ACCB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noWrap/>
            <w:vAlign w:val="center"/>
            <w:hideMark/>
          </w:tcPr>
          <w:p w14:paraId="55DBF58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vAlign w:val="center"/>
            <w:hideMark/>
          </w:tcPr>
          <w:p w14:paraId="7266F13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vAlign w:val="center"/>
            <w:hideMark/>
          </w:tcPr>
          <w:p w14:paraId="7241B00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vAlign w:val="center"/>
            <w:hideMark/>
          </w:tcPr>
          <w:p w14:paraId="5D0A50DC"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noWrap/>
            <w:vAlign w:val="center"/>
            <w:hideMark/>
          </w:tcPr>
          <w:p w14:paraId="6FCCE5CE"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noWrap/>
            <w:vAlign w:val="center"/>
            <w:hideMark/>
          </w:tcPr>
          <w:p w14:paraId="22990088"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noWrap/>
            <w:vAlign w:val="center"/>
            <w:hideMark/>
          </w:tcPr>
          <w:p w14:paraId="62B61C1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noWrap/>
            <w:vAlign w:val="center"/>
            <w:hideMark/>
          </w:tcPr>
          <w:p w14:paraId="7F5FE75B"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25D813A0" w14:textId="77777777" w:rsidTr="00F11C26">
        <w:trPr>
          <w:trHeight w:val="20"/>
        </w:trPr>
        <w:tc>
          <w:tcPr>
            <w:tcW w:w="782"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14:paraId="0EF0478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10</w:t>
            </w:r>
          </w:p>
        </w:tc>
        <w:tc>
          <w:tcPr>
            <w:tcW w:w="3896" w:type="dxa"/>
            <w:tcBorders>
              <w:top w:val="nil"/>
              <w:left w:val="nil"/>
              <w:bottom w:val="single" w:sz="4" w:space="0" w:color="auto"/>
              <w:right w:val="single" w:sz="4" w:space="0" w:color="auto"/>
            </w:tcBorders>
            <w:shd w:val="clear" w:color="auto" w:fill="BFBFBF" w:themeFill="background1" w:themeFillShade="BF"/>
            <w:vAlign w:val="center"/>
            <w:hideMark/>
          </w:tcPr>
          <w:p w14:paraId="32F5EC80"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MANTENIMIENTO PREVENTIVO DE TANQUE PRECARGADO MARCA MEJORADA CON CAPACIDAD DE 95 LITROS, INCLUYE: PRECARGADO DE TANQUE, PRUEBAS DE HERMETISMO DE LA MEMBRANA INTERIOR, REVISIÓN DE MANÓMETRO, AJUSTE DE PRESIÓN DE TRABAJO, PRUEBAS, AJUSTES, PUESTA EN FUNCIONAMIENTO, MATERIALES DE CONSUMO, HERRAMIENTA, MANO DE OBRA Y TODO LO NECESARIO PARA SU CORRECTA EJECUCIÓN.</w:t>
            </w:r>
          </w:p>
        </w:tc>
        <w:tc>
          <w:tcPr>
            <w:tcW w:w="709" w:type="dxa"/>
            <w:tcBorders>
              <w:top w:val="nil"/>
              <w:left w:val="nil"/>
              <w:bottom w:val="single" w:sz="4" w:space="0" w:color="auto"/>
              <w:right w:val="single" w:sz="4" w:space="0" w:color="auto"/>
            </w:tcBorders>
            <w:shd w:val="clear" w:color="auto" w:fill="BFBFBF" w:themeFill="background1" w:themeFillShade="BF"/>
            <w:noWrap/>
            <w:vAlign w:val="center"/>
            <w:hideMark/>
          </w:tcPr>
          <w:p w14:paraId="1F7EC32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shd w:val="clear" w:color="auto" w:fill="BFBFBF" w:themeFill="background1" w:themeFillShade="BF"/>
            <w:noWrap/>
            <w:vAlign w:val="center"/>
            <w:hideMark/>
          </w:tcPr>
          <w:p w14:paraId="5D111158"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shd w:val="clear" w:color="auto" w:fill="BFBFBF" w:themeFill="background1" w:themeFillShade="BF"/>
            <w:vAlign w:val="center"/>
            <w:hideMark/>
          </w:tcPr>
          <w:p w14:paraId="72D351EE"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shd w:val="clear" w:color="auto" w:fill="BFBFBF" w:themeFill="background1" w:themeFillShade="BF"/>
            <w:vAlign w:val="center"/>
            <w:hideMark/>
          </w:tcPr>
          <w:p w14:paraId="2FFB060E"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shd w:val="clear" w:color="auto" w:fill="BFBFBF" w:themeFill="background1" w:themeFillShade="BF"/>
            <w:vAlign w:val="center"/>
            <w:hideMark/>
          </w:tcPr>
          <w:p w14:paraId="4C2424D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shd w:val="clear" w:color="auto" w:fill="BFBFBF" w:themeFill="background1" w:themeFillShade="BF"/>
            <w:noWrap/>
            <w:vAlign w:val="center"/>
            <w:hideMark/>
          </w:tcPr>
          <w:p w14:paraId="21A56F0C"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shd w:val="clear" w:color="auto" w:fill="BFBFBF" w:themeFill="background1" w:themeFillShade="BF"/>
            <w:noWrap/>
            <w:vAlign w:val="center"/>
            <w:hideMark/>
          </w:tcPr>
          <w:p w14:paraId="62A1E24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shd w:val="clear" w:color="auto" w:fill="BFBFBF" w:themeFill="background1" w:themeFillShade="BF"/>
            <w:noWrap/>
            <w:vAlign w:val="center"/>
            <w:hideMark/>
          </w:tcPr>
          <w:p w14:paraId="777252C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shd w:val="clear" w:color="auto" w:fill="BFBFBF" w:themeFill="background1" w:themeFillShade="BF"/>
            <w:noWrap/>
            <w:vAlign w:val="center"/>
            <w:hideMark/>
          </w:tcPr>
          <w:p w14:paraId="77DE4A5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1C3B375D" w14:textId="77777777" w:rsidTr="00F11C26">
        <w:trPr>
          <w:trHeight w:val="20"/>
        </w:trPr>
        <w:tc>
          <w:tcPr>
            <w:tcW w:w="782"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14:paraId="6D75B75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11</w:t>
            </w:r>
          </w:p>
        </w:tc>
        <w:tc>
          <w:tcPr>
            <w:tcW w:w="3896" w:type="dxa"/>
            <w:tcBorders>
              <w:top w:val="nil"/>
              <w:left w:val="nil"/>
              <w:bottom w:val="single" w:sz="4" w:space="0" w:color="auto"/>
              <w:right w:val="single" w:sz="4" w:space="0" w:color="auto"/>
            </w:tcBorders>
            <w:shd w:val="clear" w:color="auto" w:fill="BFBFBF" w:themeFill="background1" w:themeFillShade="BF"/>
            <w:vAlign w:val="center"/>
            <w:hideMark/>
          </w:tcPr>
          <w:p w14:paraId="58086D9C"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MANTENIMIENTO PREVENTIVO A SENSOR DE PRESIÓN MARCA DANFOSS MODELO KP36, INCLUYE: LIMPIEZA, PRUEBAS, AJUSTES DEL ESTADO DE LOS SENSORES, MATERIALES DE CONSUMO, HERRAMIENTA, MANO DE OBRA Y TODO LO NECESARIO PARA SU CORRECTA EJECUCIÓN.</w:t>
            </w:r>
          </w:p>
        </w:tc>
        <w:tc>
          <w:tcPr>
            <w:tcW w:w="709" w:type="dxa"/>
            <w:tcBorders>
              <w:top w:val="nil"/>
              <w:left w:val="nil"/>
              <w:bottom w:val="single" w:sz="4" w:space="0" w:color="auto"/>
              <w:right w:val="single" w:sz="4" w:space="0" w:color="auto"/>
            </w:tcBorders>
            <w:shd w:val="clear" w:color="auto" w:fill="BFBFBF" w:themeFill="background1" w:themeFillShade="BF"/>
            <w:noWrap/>
            <w:vAlign w:val="center"/>
            <w:hideMark/>
          </w:tcPr>
          <w:p w14:paraId="5661D93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nil"/>
              <w:left w:val="nil"/>
              <w:bottom w:val="single" w:sz="4" w:space="0" w:color="auto"/>
              <w:right w:val="single" w:sz="4" w:space="0" w:color="auto"/>
            </w:tcBorders>
            <w:shd w:val="clear" w:color="auto" w:fill="BFBFBF" w:themeFill="background1" w:themeFillShade="BF"/>
            <w:noWrap/>
            <w:vAlign w:val="center"/>
            <w:hideMark/>
          </w:tcPr>
          <w:p w14:paraId="02D69070"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nil"/>
              <w:left w:val="nil"/>
              <w:bottom w:val="single" w:sz="4" w:space="0" w:color="auto"/>
              <w:right w:val="single" w:sz="4" w:space="0" w:color="auto"/>
            </w:tcBorders>
            <w:shd w:val="clear" w:color="auto" w:fill="BFBFBF" w:themeFill="background1" w:themeFillShade="BF"/>
            <w:vAlign w:val="center"/>
            <w:hideMark/>
          </w:tcPr>
          <w:p w14:paraId="7C6FC56B"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nil"/>
              <w:left w:val="nil"/>
              <w:bottom w:val="single" w:sz="4" w:space="0" w:color="auto"/>
              <w:right w:val="single" w:sz="4" w:space="0" w:color="auto"/>
            </w:tcBorders>
            <w:shd w:val="clear" w:color="auto" w:fill="BFBFBF" w:themeFill="background1" w:themeFillShade="BF"/>
            <w:vAlign w:val="center"/>
            <w:hideMark/>
          </w:tcPr>
          <w:p w14:paraId="66F5849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nil"/>
              <w:left w:val="nil"/>
              <w:bottom w:val="single" w:sz="4" w:space="0" w:color="auto"/>
              <w:right w:val="single" w:sz="4" w:space="0" w:color="auto"/>
            </w:tcBorders>
            <w:shd w:val="clear" w:color="auto" w:fill="BFBFBF" w:themeFill="background1" w:themeFillShade="BF"/>
            <w:vAlign w:val="center"/>
            <w:hideMark/>
          </w:tcPr>
          <w:p w14:paraId="73EBB8C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nil"/>
              <w:left w:val="nil"/>
              <w:bottom w:val="single" w:sz="4" w:space="0" w:color="auto"/>
              <w:right w:val="single" w:sz="4" w:space="0" w:color="auto"/>
            </w:tcBorders>
            <w:shd w:val="clear" w:color="auto" w:fill="BFBFBF" w:themeFill="background1" w:themeFillShade="BF"/>
            <w:noWrap/>
            <w:vAlign w:val="center"/>
            <w:hideMark/>
          </w:tcPr>
          <w:p w14:paraId="351C2E57"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nil"/>
              <w:left w:val="nil"/>
              <w:bottom w:val="single" w:sz="4" w:space="0" w:color="auto"/>
              <w:right w:val="single" w:sz="4" w:space="0" w:color="auto"/>
            </w:tcBorders>
            <w:shd w:val="clear" w:color="auto" w:fill="BFBFBF" w:themeFill="background1" w:themeFillShade="BF"/>
            <w:noWrap/>
            <w:vAlign w:val="center"/>
            <w:hideMark/>
          </w:tcPr>
          <w:p w14:paraId="152A924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nil"/>
              <w:left w:val="nil"/>
              <w:bottom w:val="single" w:sz="4" w:space="0" w:color="auto"/>
              <w:right w:val="single" w:sz="4" w:space="0" w:color="auto"/>
            </w:tcBorders>
            <w:shd w:val="clear" w:color="auto" w:fill="BFBFBF" w:themeFill="background1" w:themeFillShade="BF"/>
            <w:noWrap/>
            <w:vAlign w:val="center"/>
            <w:hideMark/>
          </w:tcPr>
          <w:p w14:paraId="1D39888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nil"/>
              <w:left w:val="nil"/>
              <w:bottom w:val="single" w:sz="4" w:space="0" w:color="auto"/>
              <w:right w:val="single" w:sz="4" w:space="0" w:color="auto"/>
            </w:tcBorders>
            <w:shd w:val="clear" w:color="auto" w:fill="BFBFBF" w:themeFill="background1" w:themeFillShade="BF"/>
            <w:noWrap/>
            <w:vAlign w:val="center"/>
            <w:hideMark/>
          </w:tcPr>
          <w:p w14:paraId="43367BE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69BBBFE3" w14:textId="77777777" w:rsidTr="00F11C26">
        <w:trPr>
          <w:trHeight w:val="20"/>
        </w:trPr>
        <w:tc>
          <w:tcPr>
            <w:tcW w:w="78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6C7AF5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12</w:t>
            </w:r>
          </w:p>
        </w:tc>
        <w:tc>
          <w:tcPr>
            <w:tcW w:w="389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59EA486"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MANTENIMIENTO PREVENTIVO A HIDRANTE, MANÓMETRO, CHIFLÓN Y MANGUERA (DE 30 METROS DOBLE TEJIDO) EXISTENTE DE SISTEMA CONTRA INCENDIO. INCLUYE: CAMBIO CON RECUPERACIÓN DE VÁLVULA GLOBO DE HASTA 2" DE DIÁMETRO, CALIBRACIÓN DE MANÓMETRO, LIMPIEZA, REVISIÓN DE ESTADO FÍSICO, COMPROBACIÓN DE FUNCIONAMIENTO, PRUEBAS, AJUSTES, PUESTA A PUNTO, MATERIALES DE CONSUMO, HERRAMIENTA, MANO DE OBRA Y TODO LO NECESARIO PARA SU CORRECTA EJECUCIÓN.</w:t>
            </w:r>
          </w:p>
        </w:tc>
        <w:tc>
          <w:tcPr>
            <w:tcW w:w="70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421A958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10E8192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3194887"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C0043B3"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132100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589CD87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14285E57"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BB7E9AC"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098C62EC"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547B8A0E" w14:textId="77777777" w:rsidTr="00F11C26">
        <w:trPr>
          <w:trHeight w:val="20"/>
        </w:trPr>
        <w:tc>
          <w:tcPr>
            <w:tcW w:w="78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2BD6498"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13</w:t>
            </w:r>
          </w:p>
        </w:tc>
        <w:tc>
          <w:tcPr>
            <w:tcW w:w="389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6C90219"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xml:space="preserve">SERVICIO DE MANTENIMIENTO PREVENTIVO A 8 (OCHO) MANGUERAS Y A LAS TUBERÍAS DE LAS LÍNEAS PRESURIZADAS DEL SISTEMA CONTRA INCENDIO EXISTENTE, CONSISTENTE EN PRUEBAS HIDROSTÁTICAS </w:t>
            </w:r>
            <w:proofErr w:type="gramStart"/>
            <w:r w:rsidRPr="00885754">
              <w:rPr>
                <w:rFonts w:ascii="Arial Nova Light" w:hAnsi="Arial Nova Light" w:cs="Calibri"/>
                <w:color w:val="000000"/>
                <w:sz w:val="12"/>
                <w:szCs w:val="12"/>
                <w:lang w:eastAsia="es-MX"/>
              </w:rPr>
              <w:t>DE ACUERDO A</w:t>
            </w:r>
            <w:proofErr w:type="gramEnd"/>
            <w:r w:rsidRPr="00885754">
              <w:rPr>
                <w:rFonts w:ascii="Arial Nova Light" w:hAnsi="Arial Nova Light" w:cs="Calibri"/>
                <w:color w:val="000000"/>
                <w:sz w:val="12"/>
                <w:szCs w:val="12"/>
                <w:lang w:eastAsia="es-MX"/>
              </w:rPr>
              <w:t xml:space="preserve"> LA NOM-020-STPS VIGENTE REALIZADO POR PERSONAL CAPACITADO. INCLUYE: EQUIPOS, REPARACIÓN DE FUGAS, PUESTA A PUNTO, MATERIALES DE CONSUMO, HERRAMIENTA, MANO DE OBRA Y TODO LO </w:t>
            </w:r>
            <w:r w:rsidRPr="00885754">
              <w:rPr>
                <w:rFonts w:ascii="Arial Nova Light" w:hAnsi="Arial Nova Light" w:cs="Calibri"/>
                <w:color w:val="000000"/>
                <w:sz w:val="12"/>
                <w:szCs w:val="12"/>
                <w:lang w:eastAsia="es-MX"/>
              </w:rPr>
              <w:lastRenderedPageBreak/>
              <w:t>NECESARIO PARA SU CORRECTA EJECUCIÓN.</w:t>
            </w:r>
          </w:p>
        </w:tc>
        <w:tc>
          <w:tcPr>
            <w:tcW w:w="70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8623B9F"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lastRenderedPageBreak/>
              <w:t>Servicio</w:t>
            </w:r>
          </w:p>
        </w:tc>
        <w:tc>
          <w:tcPr>
            <w:tcW w:w="704"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B9601A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4C9402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7AFCB27"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E11519D"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1974C197"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F33714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38CBBAE"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908DFB9"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50888997" w14:textId="77777777" w:rsidTr="00F11C26">
        <w:trPr>
          <w:trHeight w:val="20"/>
        </w:trPr>
        <w:tc>
          <w:tcPr>
            <w:tcW w:w="78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26C30BA"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14</w:t>
            </w:r>
          </w:p>
        </w:tc>
        <w:tc>
          <w:tcPr>
            <w:tcW w:w="389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B9609CB" w14:textId="77777777" w:rsidR="004348B6" w:rsidRPr="00885754" w:rsidRDefault="004348B6" w:rsidP="00F11C26">
            <w:pPr>
              <w:spacing w:line="240" w:lineRule="auto"/>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 DE LAVADO Y DESINFECCIÓN DE ALJIBE DE MATERIAL O CISTERNA PREFABRICADA DE 10,000 LITROS. INCLUYE: QUÍMICOS, HERRAMIENTA, ESCALERAS, MANO DE OBRA CAPACITADA, EQUIPO, MATERIAL, MEDIDAS DE SEGURIDAD Y PROTECCIÓN, MANIOBRAS DE BOMBEO PARA VACIADO TOTAL DE LA CISTERNA, CON BOMBAS SUMERGIBLES O DE PIE CON CAPACIDAD ADECUADA PARA EL TAMAÑO DE CADA UNA, MÍNIMO 1- 2 HP, REVISIÓN DE ESTADO FÍSICO EN QUE SE ENCUENTRAN LOS DEPÓSITOS, PICHANCHAS, FLOTADORES, VÁLVULAS, TUBERÍA DE SUCCIÓN, CONECTORES, POSIBLES FUGAS O GRIETAS; ENTREGANDO REPORTE, FOTOGRÁFICO, POR ESCRITO Y CROQUIS CON CARACTERÍSTICAS DE CADA UNA, MATERIALES DE CONSUMO Y TODO LO NECESARIO PARA SU CORRECTA EJECUCIÓN.</w:t>
            </w:r>
          </w:p>
        </w:tc>
        <w:tc>
          <w:tcPr>
            <w:tcW w:w="70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602696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Servicio</w:t>
            </w:r>
          </w:p>
        </w:tc>
        <w:tc>
          <w:tcPr>
            <w:tcW w:w="704"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1592077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1</w:t>
            </w:r>
          </w:p>
        </w:tc>
        <w:tc>
          <w:tcPr>
            <w:tcW w:w="57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E34DD16"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1256B4"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70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3951CB1"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A7AA25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 </w:t>
            </w:r>
          </w:p>
        </w:tc>
        <w:tc>
          <w:tcPr>
            <w:tcW w:w="56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0DB1EC8C"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7DCC78A5"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c>
          <w:tcPr>
            <w:tcW w:w="993"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83D3E37"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r w:rsidRPr="00885754">
              <w:rPr>
                <w:rFonts w:ascii="Arial Nova Light" w:hAnsi="Arial Nova Light" w:cs="Calibri"/>
                <w:color w:val="000000"/>
                <w:sz w:val="12"/>
                <w:szCs w:val="12"/>
                <w:lang w:eastAsia="es-MX"/>
              </w:rPr>
              <w:t>$0.00</w:t>
            </w:r>
          </w:p>
        </w:tc>
      </w:tr>
      <w:tr w:rsidR="004348B6" w:rsidRPr="00885754" w14:paraId="537461F5" w14:textId="77777777" w:rsidTr="00F11C26">
        <w:trPr>
          <w:trHeight w:val="20"/>
        </w:trPr>
        <w:tc>
          <w:tcPr>
            <w:tcW w:w="782" w:type="dxa"/>
            <w:tcBorders>
              <w:top w:val="single" w:sz="4" w:space="0" w:color="auto"/>
              <w:left w:val="nil"/>
              <w:bottom w:val="nil"/>
              <w:right w:val="nil"/>
            </w:tcBorders>
            <w:vAlign w:val="center"/>
            <w:hideMark/>
          </w:tcPr>
          <w:p w14:paraId="211335E2" w14:textId="77777777" w:rsidR="004348B6" w:rsidRPr="00885754" w:rsidRDefault="004348B6" w:rsidP="00F11C26">
            <w:pPr>
              <w:spacing w:line="240" w:lineRule="auto"/>
              <w:jc w:val="center"/>
              <w:rPr>
                <w:rFonts w:ascii="Arial Nova Light" w:hAnsi="Arial Nova Light" w:cs="Calibri"/>
                <w:color w:val="000000"/>
                <w:sz w:val="12"/>
                <w:szCs w:val="12"/>
                <w:lang w:eastAsia="es-MX"/>
              </w:rPr>
            </w:pPr>
          </w:p>
        </w:tc>
        <w:tc>
          <w:tcPr>
            <w:tcW w:w="3896" w:type="dxa"/>
            <w:tcBorders>
              <w:top w:val="single" w:sz="4" w:space="0" w:color="auto"/>
              <w:left w:val="nil"/>
              <w:bottom w:val="nil"/>
              <w:right w:val="nil"/>
            </w:tcBorders>
            <w:vAlign w:val="center"/>
            <w:hideMark/>
          </w:tcPr>
          <w:p w14:paraId="7906D246" w14:textId="77777777" w:rsidR="004348B6" w:rsidRPr="00885754" w:rsidRDefault="004348B6" w:rsidP="00F11C26">
            <w:pPr>
              <w:spacing w:line="240" w:lineRule="auto"/>
              <w:jc w:val="center"/>
              <w:rPr>
                <w:sz w:val="12"/>
                <w:szCs w:val="12"/>
                <w:lang w:eastAsia="es-MX"/>
              </w:rPr>
            </w:pPr>
          </w:p>
        </w:tc>
        <w:tc>
          <w:tcPr>
            <w:tcW w:w="709" w:type="dxa"/>
            <w:tcBorders>
              <w:top w:val="single" w:sz="4" w:space="0" w:color="auto"/>
              <w:left w:val="nil"/>
              <w:bottom w:val="nil"/>
              <w:right w:val="nil"/>
            </w:tcBorders>
            <w:vAlign w:val="center"/>
            <w:hideMark/>
          </w:tcPr>
          <w:p w14:paraId="15BDC9F5" w14:textId="77777777" w:rsidR="004348B6" w:rsidRPr="00885754" w:rsidRDefault="004348B6" w:rsidP="00F11C26">
            <w:pPr>
              <w:spacing w:line="240" w:lineRule="auto"/>
              <w:jc w:val="center"/>
              <w:rPr>
                <w:sz w:val="12"/>
                <w:szCs w:val="12"/>
                <w:lang w:eastAsia="es-MX"/>
              </w:rPr>
            </w:pPr>
          </w:p>
        </w:tc>
        <w:tc>
          <w:tcPr>
            <w:tcW w:w="704" w:type="dxa"/>
            <w:tcBorders>
              <w:top w:val="single" w:sz="4" w:space="0" w:color="auto"/>
              <w:left w:val="nil"/>
              <w:bottom w:val="nil"/>
              <w:right w:val="nil"/>
            </w:tcBorders>
            <w:vAlign w:val="center"/>
            <w:hideMark/>
          </w:tcPr>
          <w:p w14:paraId="2CF97FAA" w14:textId="77777777" w:rsidR="004348B6" w:rsidRPr="00885754" w:rsidRDefault="004348B6" w:rsidP="00F11C26">
            <w:pPr>
              <w:spacing w:line="240" w:lineRule="auto"/>
              <w:jc w:val="center"/>
              <w:rPr>
                <w:sz w:val="12"/>
                <w:szCs w:val="12"/>
                <w:lang w:eastAsia="es-MX"/>
              </w:rPr>
            </w:pPr>
          </w:p>
        </w:tc>
        <w:tc>
          <w:tcPr>
            <w:tcW w:w="572" w:type="dxa"/>
            <w:tcBorders>
              <w:top w:val="single" w:sz="4" w:space="0" w:color="auto"/>
              <w:left w:val="nil"/>
              <w:bottom w:val="nil"/>
              <w:right w:val="nil"/>
            </w:tcBorders>
            <w:vAlign w:val="center"/>
            <w:hideMark/>
          </w:tcPr>
          <w:p w14:paraId="7AA3776B" w14:textId="77777777" w:rsidR="004348B6" w:rsidRPr="00885754" w:rsidRDefault="004348B6" w:rsidP="00F11C26">
            <w:pPr>
              <w:spacing w:line="240" w:lineRule="auto"/>
              <w:jc w:val="center"/>
              <w:rPr>
                <w:sz w:val="12"/>
                <w:szCs w:val="12"/>
                <w:lang w:eastAsia="es-MX"/>
              </w:rPr>
            </w:pPr>
          </w:p>
        </w:tc>
        <w:tc>
          <w:tcPr>
            <w:tcW w:w="708" w:type="dxa"/>
            <w:tcBorders>
              <w:top w:val="single" w:sz="4" w:space="0" w:color="auto"/>
              <w:left w:val="nil"/>
              <w:bottom w:val="nil"/>
              <w:right w:val="nil"/>
            </w:tcBorders>
            <w:vAlign w:val="center"/>
            <w:hideMark/>
          </w:tcPr>
          <w:p w14:paraId="6C293BD4" w14:textId="77777777" w:rsidR="004348B6" w:rsidRPr="00885754" w:rsidRDefault="004348B6" w:rsidP="00F11C26">
            <w:pPr>
              <w:spacing w:line="240" w:lineRule="auto"/>
              <w:jc w:val="center"/>
              <w:rPr>
                <w:sz w:val="12"/>
                <w:szCs w:val="12"/>
                <w:lang w:eastAsia="es-MX"/>
              </w:rPr>
            </w:pPr>
          </w:p>
        </w:tc>
        <w:tc>
          <w:tcPr>
            <w:tcW w:w="709" w:type="dxa"/>
            <w:tcBorders>
              <w:top w:val="single" w:sz="4" w:space="0" w:color="auto"/>
              <w:left w:val="nil"/>
              <w:bottom w:val="nil"/>
              <w:right w:val="nil"/>
            </w:tcBorders>
            <w:vAlign w:val="center"/>
            <w:hideMark/>
          </w:tcPr>
          <w:p w14:paraId="04E92CE1" w14:textId="77777777" w:rsidR="004348B6" w:rsidRPr="00885754" w:rsidRDefault="004348B6" w:rsidP="00F11C26">
            <w:pPr>
              <w:spacing w:line="240" w:lineRule="auto"/>
              <w:jc w:val="center"/>
              <w:rPr>
                <w:sz w:val="12"/>
                <w:szCs w:val="12"/>
                <w:lang w:eastAsia="es-MX"/>
              </w:rPr>
            </w:pPr>
          </w:p>
        </w:tc>
        <w:tc>
          <w:tcPr>
            <w:tcW w:w="851" w:type="dxa"/>
            <w:tcBorders>
              <w:top w:val="single" w:sz="4" w:space="0" w:color="auto"/>
              <w:left w:val="nil"/>
              <w:bottom w:val="nil"/>
              <w:right w:val="nil"/>
            </w:tcBorders>
            <w:noWrap/>
            <w:vAlign w:val="center"/>
            <w:hideMark/>
          </w:tcPr>
          <w:p w14:paraId="006B66C5" w14:textId="77777777" w:rsidR="004348B6" w:rsidRPr="00885754" w:rsidRDefault="004348B6" w:rsidP="00F11C26">
            <w:pPr>
              <w:spacing w:line="240" w:lineRule="auto"/>
              <w:jc w:val="center"/>
              <w:rPr>
                <w:sz w:val="12"/>
                <w:szCs w:val="12"/>
                <w:lang w:eastAsia="es-MX"/>
              </w:rPr>
            </w:pPr>
          </w:p>
        </w:tc>
        <w:tc>
          <w:tcPr>
            <w:tcW w:w="1559" w:type="dxa"/>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3523B6E"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Gran total cotizado</w:t>
            </w:r>
          </w:p>
        </w:tc>
        <w:tc>
          <w:tcPr>
            <w:tcW w:w="993" w:type="dxa"/>
            <w:tcBorders>
              <w:top w:val="single" w:sz="4" w:space="0" w:color="auto"/>
              <w:left w:val="nil"/>
              <w:bottom w:val="single" w:sz="4" w:space="0" w:color="auto"/>
              <w:right w:val="single" w:sz="4" w:space="0" w:color="auto"/>
            </w:tcBorders>
            <w:noWrap/>
            <w:vAlign w:val="center"/>
            <w:hideMark/>
          </w:tcPr>
          <w:p w14:paraId="74BEB6B6" w14:textId="77777777" w:rsidR="004348B6" w:rsidRPr="00885754" w:rsidRDefault="004348B6" w:rsidP="00F11C26">
            <w:pPr>
              <w:spacing w:line="240" w:lineRule="auto"/>
              <w:jc w:val="center"/>
              <w:rPr>
                <w:rFonts w:ascii="Arial Nova Light" w:hAnsi="Arial Nova Light" w:cs="Calibri"/>
                <w:b/>
                <w:bCs/>
                <w:color w:val="000000"/>
                <w:sz w:val="12"/>
                <w:szCs w:val="12"/>
                <w:lang w:eastAsia="es-MX"/>
              </w:rPr>
            </w:pPr>
            <w:r w:rsidRPr="00885754">
              <w:rPr>
                <w:rFonts w:ascii="Arial Nova Light" w:hAnsi="Arial Nova Light" w:cs="Calibri"/>
                <w:b/>
                <w:bCs/>
                <w:color w:val="000000"/>
                <w:sz w:val="12"/>
                <w:szCs w:val="12"/>
                <w:lang w:eastAsia="es-MX"/>
              </w:rPr>
              <w:t>$0.00</w:t>
            </w:r>
          </w:p>
        </w:tc>
      </w:tr>
    </w:tbl>
    <w:p w14:paraId="6D86DD73"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15009DDB" w14:textId="73E6DBC9" w:rsidR="00DD0DF1" w:rsidRPr="001242B7"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69" w:name="_Toc84424133"/>
      <w:bookmarkStart w:id="70"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5237E04" w14:textId="45D2C6E3" w:rsidR="001C7B7F" w:rsidRDefault="00A64EE1" w:rsidP="001242B7">
      <w:pPr>
        <w:spacing w:line="240" w:lineRule="auto"/>
        <w:ind w:right="140"/>
        <w:jc w:val="center"/>
        <w:rPr>
          <w:rFonts w:ascii="Arial Nova Light" w:hAnsi="Arial Nova Light"/>
          <w:color w:val="000000"/>
          <w:sz w:val="20"/>
          <w:szCs w:val="20"/>
          <w:highlight w:val="yellow"/>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13947EFD" w14:textId="77777777" w:rsidR="00632BE1" w:rsidRDefault="00632BE1" w:rsidP="004D6C20">
      <w:pPr>
        <w:spacing w:line="240" w:lineRule="auto"/>
        <w:ind w:right="140"/>
        <w:rPr>
          <w:rFonts w:ascii="Arial Nova Light" w:hAnsi="Arial Nova Light"/>
          <w:sz w:val="20"/>
          <w:szCs w:val="20"/>
          <w:highlight w:val="yellow"/>
        </w:rPr>
      </w:pPr>
    </w:p>
    <w:p w14:paraId="0B3B6207" w14:textId="77777777" w:rsidR="001E02F5" w:rsidRDefault="001E02F5" w:rsidP="004D6C20">
      <w:pPr>
        <w:spacing w:line="240" w:lineRule="auto"/>
        <w:ind w:right="140"/>
        <w:rPr>
          <w:rFonts w:ascii="Arial Nova Light" w:hAnsi="Arial Nova Light"/>
          <w:sz w:val="20"/>
          <w:szCs w:val="20"/>
          <w:highlight w:val="yellow"/>
        </w:rPr>
      </w:pPr>
    </w:p>
    <w:p w14:paraId="32EAA1A2" w14:textId="77777777" w:rsidR="00F5247F" w:rsidRDefault="00F5247F" w:rsidP="004D6C20">
      <w:pPr>
        <w:spacing w:line="240" w:lineRule="auto"/>
        <w:ind w:right="140"/>
        <w:rPr>
          <w:rFonts w:ascii="Arial Nova Light" w:hAnsi="Arial Nova Light"/>
          <w:sz w:val="20"/>
          <w:szCs w:val="20"/>
          <w:highlight w:val="yellow"/>
        </w:rPr>
      </w:pPr>
    </w:p>
    <w:p w14:paraId="48E46A3A" w14:textId="77777777" w:rsidR="00F5247F" w:rsidRDefault="00F5247F" w:rsidP="004D6C20">
      <w:pPr>
        <w:spacing w:line="240" w:lineRule="auto"/>
        <w:ind w:right="140"/>
        <w:rPr>
          <w:rFonts w:ascii="Arial Nova Light" w:hAnsi="Arial Nova Light"/>
          <w:sz w:val="20"/>
          <w:szCs w:val="20"/>
          <w:highlight w:val="yellow"/>
        </w:rPr>
      </w:pPr>
    </w:p>
    <w:p w14:paraId="1993873F" w14:textId="77777777" w:rsidR="00F5247F" w:rsidRDefault="00F5247F" w:rsidP="004D6C20">
      <w:pPr>
        <w:spacing w:line="240" w:lineRule="auto"/>
        <w:ind w:right="140"/>
        <w:rPr>
          <w:rFonts w:ascii="Arial Nova Light" w:hAnsi="Arial Nova Light"/>
          <w:sz w:val="20"/>
          <w:szCs w:val="20"/>
          <w:highlight w:val="yellow"/>
        </w:rPr>
      </w:pPr>
    </w:p>
    <w:p w14:paraId="78A99EA8" w14:textId="77777777" w:rsidR="00F5247F" w:rsidRDefault="00F5247F" w:rsidP="004D6C20">
      <w:pPr>
        <w:spacing w:line="240" w:lineRule="auto"/>
        <w:ind w:right="140"/>
        <w:rPr>
          <w:rFonts w:ascii="Arial Nova Light" w:hAnsi="Arial Nova Light"/>
          <w:sz w:val="20"/>
          <w:szCs w:val="20"/>
          <w:highlight w:val="yellow"/>
        </w:rPr>
      </w:pPr>
    </w:p>
    <w:p w14:paraId="777024D7" w14:textId="77777777" w:rsidR="00F5247F" w:rsidRDefault="00F5247F" w:rsidP="004D6C20">
      <w:pPr>
        <w:spacing w:line="240" w:lineRule="auto"/>
        <w:ind w:right="140"/>
        <w:rPr>
          <w:rFonts w:ascii="Arial Nova Light" w:hAnsi="Arial Nova Light"/>
          <w:sz w:val="20"/>
          <w:szCs w:val="20"/>
          <w:highlight w:val="yellow"/>
        </w:rPr>
      </w:pPr>
    </w:p>
    <w:p w14:paraId="1C513D13" w14:textId="77777777" w:rsidR="00F5247F" w:rsidRDefault="00F5247F" w:rsidP="004D6C20">
      <w:pPr>
        <w:spacing w:line="240" w:lineRule="auto"/>
        <w:ind w:right="140"/>
        <w:rPr>
          <w:rFonts w:ascii="Arial Nova Light" w:hAnsi="Arial Nova Light"/>
          <w:sz w:val="20"/>
          <w:szCs w:val="20"/>
          <w:highlight w:val="yellow"/>
        </w:rPr>
      </w:pPr>
    </w:p>
    <w:p w14:paraId="7A439A69" w14:textId="77777777" w:rsidR="00F5247F" w:rsidRDefault="00F5247F" w:rsidP="004D6C20">
      <w:pPr>
        <w:spacing w:line="240" w:lineRule="auto"/>
        <w:ind w:right="140"/>
        <w:rPr>
          <w:rFonts w:ascii="Arial Nova Light" w:hAnsi="Arial Nova Light"/>
          <w:sz w:val="20"/>
          <w:szCs w:val="20"/>
          <w:highlight w:val="yellow"/>
        </w:rPr>
      </w:pPr>
    </w:p>
    <w:p w14:paraId="072F92F6" w14:textId="77777777" w:rsidR="00F5247F" w:rsidRDefault="00F5247F" w:rsidP="004D6C20">
      <w:pPr>
        <w:spacing w:line="240" w:lineRule="auto"/>
        <w:ind w:right="140"/>
        <w:rPr>
          <w:rFonts w:ascii="Arial Nova Light" w:hAnsi="Arial Nova Light"/>
          <w:sz w:val="20"/>
          <w:szCs w:val="20"/>
          <w:highlight w:val="yellow"/>
        </w:rPr>
      </w:pPr>
    </w:p>
    <w:p w14:paraId="084D86AC" w14:textId="77777777" w:rsidR="00F5247F" w:rsidRDefault="00F5247F" w:rsidP="004D6C20">
      <w:pPr>
        <w:spacing w:line="240" w:lineRule="auto"/>
        <w:ind w:right="140"/>
        <w:rPr>
          <w:rFonts w:ascii="Arial Nova Light" w:hAnsi="Arial Nova Light"/>
          <w:sz w:val="20"/>
          <w:szCs w:val="20"/>
          <w:highlight w:val="yellow"/>
        </w:rPr>
      </w:pPr>
    </w:p>
    <w:p w14:paraId="677B0AB8" w14:textId="77777777" w:rsidR="00F5247F" w:rsidRDefault="00F5247F" w:rsidP="004D6C20">
      <w:pPr>
        <w:spacing w:line="240" w:lineRule="auto"/>
        <w:ind w:right="140"/>
        <w:rPr>
          <w:rFonts w:ascii="Arial Nova Light" w:hAnsi="Arial Nova Light"/>
          <w:sz w:val="20"/>
          <w:szCs w:val="20"/>
          <w:highlight w:val="yellow"/>
        </w:rPr>
      </w:pPr>
    </w:p>
    <w:p w14:paraId="09B7C940" w14:textId="77777777" w:rsidR="00F5247F" w:rsidRDefault="00F5247F" w:rsidP="004D6C20">
      <w:pPr>
        <w:spacing w:line="240" w:lineRule="auto"/>
        <w:ind w:right="140"/>
        <w:rPr>
          <w:rFonts w:ascii="Arial Nova Light" w:hAnsi="Arial Nova Light"/>
          <w:sz w:val="20"/>
          <w:szCs w:val="20"/>
          <w:highlight w:val="yellow"/>
        </w:rPr>
      </w:pPr>
    </w:p>
    <w:p w14:paraId="0BACC4B1" w14:textId="77777777" w:rsidR="00F5247F" w:rsidRDefault="00F5247F" w:rsidP="004D6C20">
      <w:pPr>
        <w:spacing w:line="240" w:lineRule="auto"/>
        <w:ind w:right="140"/>
        <w:rPr>
          <w:rFonts w:ascii="Arial Nova Light" w:hAnsi="Arial Nova Light"/>
          <w:sz w:val="20"/>
          <w:szCs w:val="20"/>
          <w:highlight w:val="yellow"/>
        </w:rPr>
      </w:pPr>
    </w:p>
    <w:p w14:paraId="3CF28BB5" w14:textId="77777777" w:rsidR="00F5247F" w:rsidRDefault="00F5247F" w:rsidP="004D6C20">
      <w:pPr>
        <w:spacing w:line="240" w:lineRule="auto"/>
        <w:ind w:right="140"/>
        <w:rPr>
          <w:rFonts w:ascii="Arial Nova Light" w:hAnsi="Arial Nova Light"/>
          <w:sz w:val="20"/>
          <w:szCs w:val="20"/>
          <w:highlight w:val="yellow"/>
        </w:rPr>
      </w:pPr>
    </w:p>
    <w:p w14:paraId="09062160" w14:textId="77777777" w:rsidR="00F5247F" w:rsidRDefault="00F5247F" w:rsidP="004D6C20">
      <w:pPr>
        <w:spacing w:line="240" w:lineRule="auto"/>
        <w:ind w:right="140"/>
        <w:rPr>
          <w:rFonts w:ascii="Arial Nova Light" w:hAnsi="Arial Nova Light"/>
          <w:sz w:val="20"/>
          <w:szCs w:val="20"/>
          <w:highlight w:val="yellow"/>
        </w:rPr>
      </w:pPr>
    </w:p>
    <w:p w14:paraId="34F1EEE7" w14:textId="77777777" w:rsidR="00F5247F" w:rsidRDefault="00F5247F" w:rsidP="004D6C20">
      <w:pPr>
        <w:spacing w:line="240" w:lineRule="auto"/>
        <w:ind w:right="140"/>
        <w:rPr>
          <w:rFonts w:ascii="Arial Nova Light" w:hAnsi="Arial Nova Light"/>
          <w:sz w:val="20"/>
          <w:szCs w:val="20"/>
          <w:highlight w:val="yellow"/>
        </w:rPr>
      </w:pPr>
    </w:p>
    <w:p w14:paraId="4588967F" w14:textId="77777777" w:rsidR="00F5247F" w:rsidRDefault="00F5247F" w:rsidP="004D6C20">
      <w:pPr>
        <w:spacing w:line="240" w:lineRule="auto"/>
        <w:ind w:right="140"/>
        <w:rPr>
          <w:rFonts w:ascii="Arial Nova Light" w:hAnsi="Arial Nova Light"/>
          <w:sz w:val="20"/>
          <w:szCs w:val="20"/>
          <w:highlight w:val="yellow"/>
        </w:rPr>
      </w:pPr>
    </w:p>
    <w:p w14:paraId="0A6808A7" w14:textId="77777777" w:rsidR="00F5247F" w:rsidRDefault="00F5247F" w:rsidP="004D6C20">
      <w:pPr>
        <w:spacing w:line="240" w:lineRule="auto"/>
        <w:ind w:right="140"/>
        <w:rPr>
          <w:rFonts w:ascii="Arial Nova Light" w:hAnsi="Arial Nova Light"/>
          <w:sz w:val="20"/>
          <w:szCs w:val="20"/>
          <w:highlight w:val="yellow"/>
        </w:rPr>
      </w:pPr>
    </w:p>
    <w:p w14:paraId="00D14FF3" w14:textId="77777777" w:rsidR="00F5247F" w:rsidRDefault="00F5247F" w:rsidP="004D6C20">
      <w:pPr>
        <w:spacing w:line="240" w:lineRule="auto"/>
        <w:ind w:right="140"/>
        <w:rPr>
          <w:rFonts w:ascii="Arial Nova Light" w:hAnsi="Arial Nova Light"/>
          <w:sz w:val="20"/>
          <w:szCs w:val="20"/>
          <w:highlight w:val="yellow"/>
        </w:rPr>
      </w:pPr>
    </w:p>
    <w:p w14:paraId="60C02764" w14:textId="77777777" w:rsidR="00F5247F" w:rsidRDefault="00F5247F" w:rsidP="004D6C20">
      <w:pPr>
        <w:spacing w:line="240" w:lineRule="auto"/>
        <w:ind w:right="140"/>
        <w:rPr>
          <w:rFonts w:ascii="Arial Nova Light" w:hAnsi="Arial Nova Light"/>
          <w:sz w:val="20"/>
          <w:szCs w:val="20"/>
          <w:highlight w:val="yellow"/>
        </w:rPr>
      </w:pPr>
    </w:p>
    <w:p w14:paraId="05D3BB4F" w14:textId="77777777" w:rsidR="00F5247F" w:rsidRDefault="00F5247F" w:rsidP="004D6C20">
      <w:pPr>
        <w:spacing w:line="240" w:lineRule="auto"/>
        <w:ind w:right="140"/>
        <w:rPr>
          <w:rFonts w:ascii="Arial Nova Light" w:hAnsi="Arial Nova Light"/>
          <w:sz w:val="20"/>
          <w:szCs w:val="20"/>
          <w:highlight w:val="yellow"/>
        </w:rPr>
      </w:pPr>
    </w:p>
    <w:p w14:paraId="42077229" w14:textId="77777777" w:rsidR="001E02F5" w:rsidRPr="00B65412" w:rsidRDefault="001E02F5" w:rsidP="004D6C20">
      <w:pPr>
        <w:spacing w:line="240" w:lineRule="auto"/>
        <w:ind w:right="140"/>
        <w:rPr>
          <w:rFonts w:ascii="Arial Nova Light" w:hAnsi="Arial Nova Light"/>
          <w:sz w:val="20"/>
          <w:szCs w:val="20"/>
          <w:highlight w:val="yellow"/>
        </w:rPr>
      </w:pP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7A9E9970"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1716648"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66DB717"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1A15CC84"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w:t>
      </w:r>
      <w:r w:rsidRPr="001242B7">
        <w:rPr>
          <w:rFonts w:ascii="Arial Nova Light" w:eastAsia="Arial Narrow" w:hAnsi="Arial Nova Light" w:cs="Arial Narrow"/>
          <w:sz w:val="20"/>
          <w:szCs w:val="20"/>
        </w:rPr>
        <w:lastRenderedPageBreak/>
        <w:t>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342D811B"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50BEAD4B"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E0AF0D6"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44C60C5F"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23123E0F" w14:textId="77777777" w:rsidR="001B4034" w:rsidRDefault="001B4034" w:rsidP="00AA6F4B">
      <w:pPr>
        <w:keepNext/>
        <w:spacing w:line="240" w:lineRule="auto"/>
        <w:rPr>
          <w:rFonts w:ascii="Arial Nova Light" w:eastAsia="Arial Narrow" w:hAnsi="Arial Nova Light" w:cs="Arial Narrow"/>
          <w:b/>
          <w:color w:val="000000"/>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005DCCF1"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1B4034" w:rsidRPr="00A24F85">
        <w:rPr>
          <w:rFonts w:ascii="Arial Nova Light" w:hAnsi="Arial Nova Light" w:cs="Arial"/>
          <w:sz w:val="20"/>
          <w:szCs w:val="20"/>
          <w:lang w:val="es-MX"/>
        </w:rPr>
        <w:t xml:space="preserve">Licitación Pública Local sin Concurrencia del Comité </w:t>
      </w:r>
      <w:r w:rsidR="001B4034">
        <w:rPr>
          <w:rFonts w:ascii="Arial Nova Light" w:hAnsi="Arial Nova Light" w:cs="Arial"/>
          <w:b/>
          <w:bCs/>
          <w:sz w:val="20"/>
          <w:szCs w:val="20"/>
          <w:lang w:val="es-MX"/>
        </w:rPr>
        <w:t xml:space="preserve">CCLJ-DA-UCC-LPL-011/2025 </w:t>
      </w:r>
      <w:r w:rsidR="001B4034"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1B4034"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06089"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la fecha de suscripción del documento.</w:t>
            </w:r>
          </w:p>
        </w:tc>
      </w:tr>
      <w:tr w:rsidR="00BF6C62" w:rsidRPr="00906089"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Anotar el nombre, razón social o denominación del licitante.</w:t>
            </w:r>
          </w:p>
        </w:tc>
      </w:tr>
      <w:tr w:rsidR="00BF6C62" w:rsidRPr="00906089"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Indicar el Registro Federal de Contribuyentes del licitante.</w:t>
            </w:r>
          </w:p>
        </w:tc>
      </w:tr>
      <w:tr w:rsidR="00BF6C62" w:rsidRPr="00906089"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906089" w:rsidRDefault="00BF6C62" w:rsidP="001A26BC">
            <w:pPr>
              <w:spacing w:line="240" w:lineRule="auto"/>
              <w:ind w:right="140"/>
              <w:rPr>
                <w:rFonts w:ascii="Arial Nova Light" w:hAnsi="Arial Nova Light"/>
                <w:color w:val="0000FF"/>
                <w:sz w:val="16"/>
                <w:szCs w:val="16"/>
                <w:u w:val="single"/>
              </w:rPr>
            </w:pPr>
            <w:r w:rsidRPr="00906089">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906089">
              <w:rPr>
                <w:rFonts w:ascii="Arial Nova Light" w:hAnsi="Arial Nova Light"/>
                <w:sz w:val="16"/>
                <w:szCs w:val="16"/>
              </w:rPr>
              <w:t>MIPyMES</w:t>
            </w:r>
            <w:proofErr w:type="spellEnd"/>
            <w:r w:rsidRPr="00906089">
              <w:rPr>
                <w:rFonts w:ascii="Arial Nova Light" w:hAnsi="Arial Nova Light"/>
                <w:sz w:val="16"/>
                <w:szCs w:val="16"/>
              </w:rPr>
              <w:t xml:space="preserve"> disponible en la página</w:t>
            </w:r>
            <w:hyperlink r:id="rId15">
              <w:r w:rsidRPr="00906089">
                <w:rPr>
                  <w:rFonts w:ascii="Arial Nova Light" w:hAnsi="Arial Nova Light"/>
                  <w:sz w:val="16"/>
                  <w:szCs w:val="16"/>
                </w:rPr>
                <w:t xml:space="preserve"> </w:t>
              </w:r>
            </w:hyperlink>
            <w:hyperlink r:id="rId16">
              <w:r w:rsidRPr="00906089">
                <w:rPr>
                  <w:rFonts w:ascii="Arial Nova Light" w:hAnsi="Arial Nova Light"/>
                  <w:color w:val="0000FF"/>
                  <w:sz w:val="16"/>
                  <w:szCs w:val="16"/>
                  <w:u w:val="single"/>
                </w:rPr>
                <w:t>http://www.comprasdegobierno.gob.mx/calculadora</w:t>
              </w:r>
            </w:hyperlink>
          </w:p>
          <w:p w14:paraId="0480E094"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906089"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0DE39480"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EC4BE2D"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CC0AFB9"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57220AEC"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009DAD9"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51D8BE1"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98BF06E"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0893A6EC"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377620F"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5F9A760"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596E41E"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48BA2F5C"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50E0DD69"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1B4034" w:rsidRPr="00A24F85">
        <w:rPr>
          <w:rFonts w:ascii="Arial Nova Light" w:hAnsi="Arial Nova Light" w:cs="Arial"/>
          <w:sz w:val="20"/>
          <w:szCs w:val="20"/>
          <w:lang w:val="es-MX"/>
        </w:rPr>
        <w:t>Licitación Pública Local sin Concurrencia del Comité</w:t>
      </w:r>
      <w:r w:rsidR="00F5247F">
        <w:rPr>
          <w:rFonts w:ascii="Arial Nova Light" w:hAnsi="Arial Nova Light" w:cs="Arial"/>
          <w:sz w:val="20"/>
          <w:szCs w:val="20"/>
          <w:lang w:val="es-MX"/>
        </w:rPr>
        <w:t xml:space="preserve"> </w:t>
      </w:r>
      <w:r w:rsidR="001B4034">
        <w:rPr>
          <w:rFonts w:ascii="Arial Nova Light" w:hAnsi="Arial Nova Light" w:cs="Arial"/>
          <w:b/>
          <w:bCs/>
          <w:sz w:val="20"/>
          <w:szCs w:val="20"/>
          <w:lang w:val="es-MX"/>
        </w:rPr>
        <w:t xml:space="preserve">CCLJ-DA-UCC-LPL-011/2025 </w:t>
      </w:r>
      <w:r w:rsidR="001B4034" w:rsidRPr="00A24F85">
        <w:rPr>
          <w:rFonts w:ascii="Arial Nova Light" w:hAnsi="Arial Nova Light" w:cs="Arial"/>
          <w:b/>
          <w:bCs/>
          <w:sz w:val="20"/>
          <w:szCs w:val="20"/>
          <w:lang w:val="es-MX"/>
        </w:rPr>
        <w:t>“</w:t>
      </w:r>
      <w:r w:rsidR="001B4034" w:rsidRPr="001B4034">
        <w:rPr>
          <w:rFonts w:ascii="Arial Nova Light" w:hAnsi="Arial Nova Light" w:cs="Arial"/>
          <w:b/>
          <w:noProof/>
          <w:sz w:val="20"/>
          <w:szCs w:val="20"/>
        </w:rPr>
        <w:t>CONTRATACIÓN DEL SERVICIO DE MANTENIMIENTO PREVENTIVO Y CORRECTIVO PARA LOS EQUIPOS CONTRA INCENDIO DEL CCLJ 2025</w:t>
      </w:r>
      <w:r w:rsidR="001B4034"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29B7BBCF"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8ACB072"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3F9BA63" w14:textId="77777777" w:rsidR="001B4034" w:rsidRPr="00B65412" w:rsidRDefault="001B4034" w:rsidP="001B403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CCLJ-DA-UCC-LPL-011/2025 </w:t>
      </w:r>
    </w:p>
    <w:p w14:paraId="7E7051E9" w14:textId="77777777" w:rsidR="001B4034" w:rsidRDefault="001B4034" w:rsidP="001B403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B4034">
        <w:rPr>
          <w:rFonts w:ascii="Arial Nova Light" w:hAnsi="Arial Nova Light" w:cs="Arial"/>
          <w:b/>
          <w:noProof/>
          <w:color w:val="auto"/>
          <w:sz w:val="20"/>
          <w:szCs w:val="20"/>
        </w:rPr>
        <w:t>CONTRATACIÓN DEL SERVICIO DE MANTENIMIENTO PREVENTIVO Y CORRECTIVO PARA LOS EQUIPOS CONTRA INCENDIO DEL CCLJ 2025</w:t>
      </w:r>
      <w:r w:rsidRPr="00832CC8">
        <w:rPr>
          <w:rFonts w:ascii="Arial Nova Light" w:hAnsi="Arial Nova Light" w:cs="Arial"/>
          <w:b/>
          <w:noProof/>
          <w:color w:val="auto"/>
          <w:sz w:val="20"/>
          <w:szCs w:val="20"/>
        </w:rPr>
        <w:t>"</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480225D"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7"/>
      <w:footerReference w:type="default" r:id="rId18"/>
      <w:headerReference w:type="first" r:id="rId19"/>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23BC74D2"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0F5B3B">
          <w:rPr>
            <w:rFonts w:ascii="Arial Nova Light" w:hAnsi="Arial Nova Light"/>
            <w:sz w:val="16"/>
            <w:szCs w:val="16"/>
          </w:rPr>
          <w:t>4</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2D7"/>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62"/>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3B"/>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AC2"/>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8B6"/>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376"/>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395"/>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2C95"/>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4EA6"/>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092"/>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4AEE"/>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748"/>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comprasdegobierno.gob.mx/calculadora"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TotalTime>
  <Pages>44</Pages>
  <Words>15138</Words>
  <Characters>83259</Characters>
  <Application>Microsoft Office Word</Application>
  <DocSecurity>0</DocSecurity>
  <Lines>693</Lines>
  <Paragraphs>196</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98201</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38</cp:revision>
  <cp:lastPrinted>2025-06-03T21:44:00Z</cp:lastPrinted>
  <dcterms:created xsi:type="dcterms:W3CDTF">2025-06-23T18:39:00Z</dcterms:created>
  <dcterms:modified xsi:type="dcterms:W3CDTF">2025-11-13T17:02:00Z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